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3821" w:rsidRDefault="00507434" w:rsidP="009C2E4D">
      <w:pPr>
        <w:keepNext/>
        <w:pBdr>
          <w:top w:val="nil"/>
          <w:left w:val="nil"/>
          <w:bottom w:val="nil"/>
          <w:right w:val="nil"/>
          <w:between w:val="nil"/>
        </w:pBdr>
        <w:spacing w:before="120" w:after="120" w:line="240" w:lineRule="auto"/>
        <w:rPr>
          <w:rFonts w:ascii="Arial" w:eastAsia="Arial" w:hAnsi="Arial" w:cs="Arial"/>
          <w:b/>
          <w:color w:val="000000"/>
          <w:sz w:val="36"/>
          <w:szCs w:val="36"/>
        </w:rPr>
      </w:pPr>
      <w:r>
        <w:rPr>
          <w:rFonts w:ascii="Arial" w:eastAsia="Arial" w:hAnsi="Arial" w:cs="Arial"/>
          <w:b/>
          <w:color w:val="000000"/>
          <w:sz w:val="36"/>
          <w:szCs w:val="36"/>
        </w:rPr>
        <w:t>Order Schedule 14 (Service Levels)</w:t>
      </w:r>
    </w:p>
    <w:p w:rsidR="00D73821" w:rsidRDefault="00507434" w:rsidP="009C2E4D">
      <w:pPr>
        <w:numPr>
          <w:ilvl w:val="0"/>
          <w:numId w:val="3"/>
        </w:numPr>
        <w:pBdr>
          <w:top w:val="nil"/>
          <w:left w:val="nil"/>
          <w:bottom w:val="nil"/>
          <w:right w:val="nil"/>
          <w:between w:val="nil"/>
        </w:pBdr>
        <w:tabs>
          <w:tab w:val="left" w:pos="142"/>
        </w:tabs>
        <w:spacing w:before="12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D73821" w:rsidRDefault="00507434" w:rsidP="009C2E4D">
      <w:pPr>
        <w:numPr>
          <w:ilvl w:val="1"/>
          <w:numId w:val="3"/>
        </w:numPr>
        <w:pBdr>
          <w:top w:val="nil"/>
          <w:left w:val="nil"/>
          <w:bottom w:val="nil"/>
          <w:right w:val="nil"/>
          <w:between w:val="nil"/>
        </w:pBdr>
        <w:spacing w:before="120" w:after="120" w:line="240" w:lineRule="auto"/>
        <w:rPr>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363" w:type="dxa"/>
        <w:tblInd w:w="959" w:type="dxa"/>
        <w:tblLayout w:type="fixed"/>
        <w:tblLook w:val="0400" w:firstRow="0" w:lastRow="0" w:firstColumn="0" w:lastColumn="0" w:noHBand="0" w:noVBand="1"/>
      </w:tblPr>
      <w:tblGrid>
        <w:gridCol w:w="2410"/>
        <w:gridCol w:w="5953"/>
      </w:tblGrid>
      <w:tr w:rsidR="00D73821">
        <w:tc>
          <w:tcPr>
            <w:tcW w:w="2410" w:type="dxa"/>
            <w:shd w:val="clear" w:color="auto" w:fill="auto"/>
          </w:tcPr>
          <w:p w:rsidR="00D73821" w:rsidRDefault="00507434" w:rsidP="009C2E4D">
            <w:pPr>
              <w:pBdr>
                <w:top w:val="nil"/>
                <w:left w:val="nil"/>
                <w:bottom w:val="nil"/>
                <w:right w:val="nil"/>
                <w:between w:val="nil"/>
              </w:pBdr>
              <w:spacing w:before="120"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Credits"</w:t>
            </w:r>
          </w:p>
        </w:tc>
        <w:tc>
          <w:tcPr>
            <w:tcW w:w="5953" w:type="dxa"/>
            <w:shd w:val="clear" w:color="auto" w:fill="auto"/>
          </w:tcPr>
          <w:p w:rsidR="00D73821" w:rsidRDefault="00507434" w:rsidP="009C2E4D">
            <w:pPr>
              <w:numPr>
                <w:ilvl w:val="0"/>
                <w:numId w:val="4"/>
              </w:numPr>
              <w:pBdr>
                <w:top w:val="nil"/>
                <w:left w:val="nil"/>
                <w:bottom w:val="nil"/>
                <w:right w:val="nil"/>
                <w:between w:val="nil"/>
              </w:pBdr>
              <w:tabs>
                <w:tab w:val="left" w:pos="-9"/>
                <w:tab w:val="left" w:pos="-17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specified in the Annex to Part A of this Schedule being payable by the Supplier to the Buyer in respect of any failure by the Supplier to meet one or more Service Levels;</w:t>
            </w:r>
          </w:p>
        </w:tc>
      </w:tr>
      <w:tr w:rsidR="00D73821">
        <w:trPr>
          <w:trHeight w:val="359"/>
        </w:trPr>
        <w:tc>
          <w:tcPr>
            <w:tcW w:w="2410" w:type="dxa"/>
            <w:shd w:val="clear" w:color="auto" w:fill="auto"/>
          </w:tcPr>
          <w:p w:rsidR="00D73821" w:rsidRDefault="00507434" w:rsidP="009C2E4D">
            <w:pPr>
              <w:pBdr>
                <w:top w:val="nil"/>
                <w:left w:val="nil"/>
                <w:bottom w:val="nil"/>
                <w:right w:val="nil"/>
                <w:between w:val="nil"/>
              </w:pBdr>
              <w:spacing w:before="120"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 Cap"</w:t>
            </w:r>
          </w:p>
        </w:tc>
        <w:tc>
          <w:tcPr>
            <w:tcW w:w="5953" w:type="dxa"/>
            <w:shd w:val="clear" w:color="auto" w:fill="auto"/>
          </w:tcPr>
          <w:p w:rsidR="00D73821" w:rsidRDefault="00507434" w:rsidP="009C2E4D">
            <w:pPr>
              <w:numPr>
                <w:ilvl w:val="0"/>
                <w:numId w:val="4"/>
              </w:numPr>
              <w:pBdr>
                <w:top w:val="nil"/>
                <w:left w:val="nil"/>
                <w:bottom w:val="nil"/>
                <w:right w:val="nil"/>
                <w:between w:val="nil"/>
              </w:pBdr>
              <w:tabs>
                <w:tab w:val="left" w:pos="-9"/>
                <w:tab w:val="left" w:pos="-17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D73821">
        <w:tc>
          <w:tcPr>
            <w:tcW w:w="2410" w:type="dxa"/>
            <w:shd w:val="clear" w:color="auto" w:fill="auto"/>
          </w:tcPr>
          <w:p w:rsidR="00D73821" w:rsidRDefault="00507434" w:rsidP="009C2E4D">
            <w:pPr>
              <w:pBdr>
                <w:top w:val="nil"/>
                <w:left w:val="nil"/>
                <w:bottom w:val="nil"/>
                <w:right w:val="nil"/>
                <w:between w:val="nil"/>
              </w:pBdr>
              <w:spacing w:before="120"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Failure"</w:t>
            </w:r>
          </w:p>
        </w:tc>
        <w:tc>
          <w:tcPr>
            <w:tcW w:w="5953" w:type="dxa"/>
            <w:shd w:val="clear" w:color="auto" w:fill="auto"/>
          </w:tcPr>
          <w:p w:rsidR="00D73821" w:rsidRDefault="00507434" w:rsidP="009C2E4D">
            <w:pPr>
              <w:numPr>
                <w:ilvl w:val="0"/>
                <w:numId w:val="4"/>
              </w:numPr>
              <w:pBdr>
                <w:top w:val="nil"/>
                <w:left w:val="nil"/>
                <w:bottom w:val="nil"/>
                <w:right w:val="nil"/>
                <w:between w:val="nil"/>
              </w:pBdr>
              <w:tabs>
                <w:tab w:val="left" w:pos="-9"/>
                <w:tab w:val="left" w:pos="-17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means a failure to meet the Service Level Performance Measure in respect of a Service Level;</w:t>
            </w:r>
          </w:p>
        </w:tc>
      </w:tr>
      <w:tr w:rsidR="00D73821">
        <w:tc>
          <w:tcPr>
            <w:tcW w:w="2410" w:type="dxa"/>
            <w:shd w:val="clear" w:color="auto" w:fill="auto"/>
          </w:tcPr>
          <w:p w:rsidR="00D73821" w:rsidRDefault="00507434" w:rsidP="009C2E4D">
            <w:pPr>
              <w:pBdr>
                <w:top w:val="nil"/>
                <w:left w:val="nil"/>
                <w:bottom w:val="nil"/>
                <w:right w:val="nil"/>
                <w:between w:val="nil"/>
              </w:pBdr>
              <w:spacing w:before="120"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Performance Measure"</w:t>
            </w:r>
          </w:p>
        </w:tc>
        <w:tc>
          <w:tcPr>
            <w:tcW w:w="5953" w:type="dxa"/>
            <w:shd w:val="clear" w:color="auto" w:fill="auto"/>
          </w:tcPr>
          <w:p w:rsidR="00D73821" w:rsidRDefault="00507434" w:rsidP="009C2E4D">
            <w:pPr>
              <w:numPr>
                <w:ilvl w:val="0"/>
                <w:numId w:val="4"/>
              </w:numPr>
              <w:pBdr>
                <w:top w:val="nil"/>
                <w:left w:val="nil"/>
                <w:bottom w:val="nil"/>
                <w:right w:val="nil"/>
                <w:between w:val="nil"/>
              </w:pBdr>
              <w:tabs>
                <w:tab w:val="left" w:pos="-9"/>
                <w:tab w:val="left" w:pos="-17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 and</w:t>
            </w:r>
          </w:p>
        </w:tc>
      </w:tr>
      <w:tr w:rsidR="00D73821">
        <w:tc>
          <w:tcPr>
            <w:tcW w:w="2410" w:type="dxa"/>
            <w:shd w:val="clear" w:color="auto" w:fill="auto"/>
          </w:tcPr>
          <w:p w:rsidR="00D73821" w:rsidRDefault="00507434" w:rsidP="009C2E4D">
            <w:pPr>
              <w:pBdr>
                <w:top w:val="nil"/>
                <w:left w:val="nil"/>
                <w:bottom w:val="nil"/>
                <w:right w:val="nil"/>
                <w:between w:val="nil"/>
              </w:pBdr>
              <w:spacing w:before="120"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Threshold"</w:t>
            </w:r>
          </w:p>
        </w:tc>
        <w:tc>
          <w:tcPr>
            <w:tcW w:w="5953" w:type="dxa"/>
            <w:shd w:val="clear" w:color="auto" w:fill="auto"/>
          </w:tcPr>
          <w:p w:rsidR="00D73821" w:rsidRDefault="00507434" w:rsidP="009C2E4D">
            <w:pPr>
              <w:numPr>
                <w:ilvl w:val="0"/>
                <w:numId w:val="4"/>
              </w:numPr>
              <w:pBdr>
                <w:top w:val="nil"/>
                <w:left w:val="nil"/>
                <w:bottom w:val="nil"/>
                <w:right w:val="nil"/>
                <w:between w:val="nil"/>
              </w:pBdr>
              <w:tabs>
                <w:tab w:val="left" w:pos="-9"/>
                <w:tab w:val="left" w:pos="-17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w:t>
            </w:r>
          </w:p>
        </w:tc>
      </w:tr>
    </w:tbl>
    <w:p w:rsidR="000F4A33" w:rsidRPr="000F4A33" w:rsidRDefault="000F4A33" w:rsidP="009C2E4D">
      <w:pPr>
        <w:pBdr>
          <w:top w:val="nil"/>
          <w:left w:val="nil"/>
          <w:bottom w:val="nil"/>
          <w:right w:val="nil"/>
          <w:between w:val="nil"/>
        </w:pBdr>
        <w:tabs>
          <w:tab w:val="left" w:pos="142"/>
        </w:tabs>
        <w:spacing w:before="120" w:after="120" w:line="240" w:lineRule="auto"/>
        <w:ind w:left="720"/>
        <w:rPr>
          <w:rFonts w:ascii="Arial" w:eastAsia="Arial" w:hAnsi="Arial" w:cs="Arial"/>
          <w:b/>
          <w:smallCaps/>
          <w:color w:val="000000"/>
          <w:sz w:val="24"/>
          <w:szCs w:val="24"/>
        </w:rPr>
      </w:pPr>
    </w:p>
    <w:p w:rsidR="00D73821" w:rsidRDefault="00507434" w:rsidP="009C2E4D">
      <w:pPr>
        <w:numPr>
          <w:ilvl w:val="0"/>
          <w:numId w:val="3"/>
        </w:numPr>
        <w:pBdr>
          <w:top w:val="nil"/>
          <w:left w:val="nil"/>
          <w:bottom w:val="nil"/>
          <w:right w:val="nil"/>
          <w:between w:val="nil"/>
        </w:pBdr>
        <w:tabs>
          <w:tab w:val="left" w:pos="142"/>
        </w:tabs>
        <w:spacing w:before="120" w:after="120" w:line="240" w:lineRule="auto"/>
        <w:rPr>
          <w:rFonts w:ascii="Arial" w:eastAsia="Arial" w:hAnsi="Arial" w:cs="Arial"/>
          <w:b/>
          <w:smallCaps/>
          <w:color w:val="000000"/>
          <w:sz w:val="24"/>
          <w:szCs w:val="24"/>
        </w:rPr>
      </w:pPr>
      <w:r>
        <w:rPr>
          <w:rFonts w:ascii="Arial Bold" w:eastAsia="Arial Bold" w:hAnsi="Arial Bold" w:cs="Arial Bold"/>
          <w:b/>
          <w:color w:val="000000"/>
          <w:sz w:val="24"/>
          <w:szCs w:val="24"/>
        </w:rPr>
        <w:t>What happens if you don’t meet the Service Levels</w:t>
      </w:r>
    </w:p>
    <w:p w:rsidR="00D73821" w:rsidRDefault="00507434" w:rsidP="009C2E4D">
      <w:pPr>
        <w:numPr>
          <w:ilvl w:val="1"/>
          <w:numId w:val="3"/>
        </w:numPr>
        <w:pBdr>
          <w:top w:val="nil"/>
          <w:left w:val="nil"/>
          <w:bottom w:val="nil"/>
          <w:right w:val="nil"/>
          <w:between w:val="nil"/>
        </w:pBdr>
        <w:spacing w:before="120" w:after="120" w:line="240" w:lineRule="auto"/>
        <w:rPr>
          <w:color w:val="000000"/>
          <w:sz w:val="24"/>
          <w:szCs w:val="24"/>
        </w:rPr>
      </w:pPr>
      <w:r>
        <w:rPr>
          <w:rFonts w:ascii="Arial" w:eastAsia="Arial" w:hAnsi="Arial" w:cs="Arial"/>
          <w:color w:val="000000"/>
          <w:sz w:val="24"/>
          <w:szCs w:val="24"/>
        </w:rPr>
        <w:t>The Supplier shall at all times provide the Deliverables to meet or exceed the Service Level Performance Measure for each Service Level.</w:t>
      </w:r>
    </w:p>
    <w:p w:rsidR="00D73821" w:rsidRDefault="00507434" w:rsidP="009C2E4D">
      <w:pPr>
        <w:numPr>
          <w:ilvl w:val="1"/>
          <w:numId w:val="3"/>
        </w:numPr>
        <w:pBdr>
          <w:top w:val="nil"/>
          <w:left w:val="nil"/>
          <w:bottom w:val="nil"/>
          <w:right w:val="nil"/>
          <w:between w:val="nil"/>
        </w:pBdr>
        <w:spacing w:before="120" w:after="120" w:line="240" w:lineRule="auto"/>
        <w:rPr>
          <w:color w:val="000000"/>
          <w:sz w:val="24"/>
          <w:szCs w:val="24"/>
        </w:rPr>
      </w:pPr>
      <w:r>
        <w:rPr>
          <w:rFonts w:ascii="Arial" w:eastAsia="Arial" w:hAnsi="Arial" w:cs="Arial"/>
          <w:color w:val="000000"/>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rsidR="00D73821" w:rsidRDefault="00507434" w:rsidP="009C2E4D">
      <w:pPr>
        <w:numPr>
          <w:ilvl w:val="1"/>
          <w:numId w:val="3"/>
        </w:numPr>
        <w:pBdr>
          <w:top w:val="nil"/>
          <w:left w:val="nil"/>
          <w:bottom w:val="nil"/>
          <w:right w:val="nil"/>
          <w:between w:val="nil"/>
        </w:pBdr>
        <w:spacing w:before="120" w:after="120" w:line="240" w:lineRule="auto"/>
        <w:rPr>
          <w:color w:val="000000"/>
          <w:sz w:val="24"/>
          <w:szCs w:val="24"/>
        </w:rPr>
      </w:pPr>
      <w:bookmarkStart w:id="0" w:name="_heading=h.gjdgxs" w:colFirst="0" w:colLast="0"/>
      <w:bookmarkEnd w:id="0"/>
      <w:r>
        <w:rPr>
          <w:rFonts w:ascii="Arial" w:eastAsia="Arial" w:hAnsi="Arial" w:cs="Arial"/>
          <w:color w:val="000000"/>
          <w:sz w:val="24"/>
          <w:szCs w:val="24"/>
        </w:rPr>
        <w:t>The Supplier shall send Performance Monitoring Reports to the Buyer detailing the level of service which was achieved in accordance with the provisions of Part B (Performance Monitoring) of this Schedule.</w:t>
      </w:r>
    </w:p>
    <w:p w:rsidR="00D73821" w:rsidRDefault="00507434" w:rsidP="009C2E4D">
      <w:pPr>
        <w:numPr>
          <w:ilvl w:val="1"/>
          <w:numId w:val="3"/>
        </w:numPr>
        <w:pBdr>
          <w:top w:val="nil"/>
          <w:left w:val="nil"/>
          <w:bottom w:val="nil"/>
          <w:right w:val="nil"/>
          <w:between w:val="nil"/>
        </w:pBdr>
        <w:spacing w:before="120" w:after="120" w:line="240" w:lineRule="auto"/>
        <w:rPr>
          <w:color w:val="000000"/>
          <w:sz w:val="24"/>
          <w:szCs w:val="24"/>
        </w:rPr>
      </w:pPr>
      <w:r>
        <w:rPr>
          <w:rFonts w:ascii="Arial" w:eastAsia="Arial" w:hAnsi="Arial" w:cs="Arial"/>
          <w:color w:val="000000"/>
          <w:sz w:val="24"/>
          <w:szCs w:val="24"/>
        </w:rPr>
        <w:t>A Service Credit shall be the Buyer’s exclusive financial remedy for a Service Level Failure except where:</w:t>
      </w:r>
    </w:p>
    <w:p w:rsidR="00D73821" w:rsidRDefault="00507434" w:rsidP="009C2E4D">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has over the previous (twelve) 12 Month period exceeded the Service Credit Cap; and/or</w:t>
      </w:r>
    </w:p>
    <w:p w:rsidR="00D73821" w:rsidRDefault="00507434" w:rsidP="009C2E4D">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Service Level Failure:</w:t>
      </w:r>
    </w:p>
    <w:p w:rsidR="00D73821" w:rsidRDefault="00507434" w:rsidP="009C2E4D">
      <w:pPr>
        <w:numPr>
          <w:ilvl w:val="3"/>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exceeds the relevant Service Level Threshold;</w:t>
      </w:r>
    </w:p>
    <w:p w:rsidR="00D73821" w:rsidRDefault="00507434" w:rsidP="009C2E4D">
      <w:pPr>
        <w:numPr>
          <w:ilvl w:val="3"/>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 xml:space="preserve">has arisen due to a Prohibited Act or wilful Default by the Supplier; </w:t>
      </w:r>
    </w:p>
    <w:p w:rsidR="00D73821" w:rsidRDefault="00507434" w:rsidP="009C2E4D">
      <w:pPr>
        <w:numPr>
          <w:ilvl w:val="3"/>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corruption or loss of any Government Data; and/or</w:t>
      </w:r>
    </w:p>
    <w:p w:rsidR="00D73821" w:rsidRDefault="00507434" w:rsidP="009C2E4D">
      <w:pPr>
        <w:numPr>
          <w:ilvl w:val="3"/>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Buyer being required to make a compensation payment to one or more third parties; and/or</w:t>
      </w:r>
    </w:p>
    <w:p w:rsidR="00D73821" w:rsidRDefault="00507434" w:rsidP="009C2E4D">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is otherwise entitled to or does terminate this Contract pursuant to Clause 10.4 (CCS and Buyer Termination Rights).</w:t>
      </w:r>
    </w:p>
    <w:p w:rsidR="00D73821" w:rsidRDefault="00507434" w:rsidP="009C2E4D">
      <w:pPr>
        <w:numPr>
          <w:ilvl w:val="1"/>
          <w:numId w:val="3"/>
        </w:numPr>
        <w:pBdr>
          <w:top w:val="nil"/>
          <w:left w:val="nil"/>
          <w:bottom w:val="nil"/>
          <w:right w:val="nil"/>
          <w:between w:val="nil"/>
        </w:pBdr>
        <w:spacing w:before="120" w:after="120" w:line="240" w:lineRule="auto"/>
        <w:rPr>
          <w:color w:val="000000"/>
          <w:sz w:val="24"/>
          <w:szCs w:val="24"/>
        </w:rPr>
      </w:pPr>
      <w:r>
        <w:rPr>
          <w:rFonts w:ascii="Arial" w:eastAsia="Arial" w:hAnsi="Arial" w:cs="Arial"/>
          <w:color w:val="000000"/>
          <w:sz w:val="24"/>
          <w:szCs w:val="24"/>
        </w:rPr>
        <w:t>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D73821" w:rsidRDefault="00507434" w:rsidP="009C2E4D">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total number of Service Levels for which the weighting is to be changed does not exceed the number applicable as at the Start Date; </w:t>
      </w:r>
    </w:p>
    <w:p w:rsidR="00D73821" w:rsidRDefault="00507434" w:rsidP="009C2E4D">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principal purpose of the change is to reflect changes in the Buyer's business requirements and/or priorities or to reflect changing industry standards; and</w:t>
      </w:r>
    </w:p>
    <w:p w:rsidR="00D73821" w:rsidRDefault="00507434" w:rsidP="009C2E4D">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there is no change to the Service Credit Cap.</w:t>
      </w:r>
    </w:p>
    <w:p w:rsidR="000F4A33" w:rsidRDefault="000F4A33" w:rsidP="009C2E4D">
      <w:pPr>
        <w:pBdr>
          <w:top w:val="nil"/>
          <w:left w:val="nil"/>
          <w:bottom w:val="nil"/>
          <w:right w:val="nil"/>
          <w:between w:val="nil"/>
        </w:pBdr>
        <w:spacing w:before="120" w:after="120" w:line="240" w:lineRule="auto"/>
        <w:ind w:left="2160"/>
        <w:rPr>
          <w:rFonts w:ascii="Arial" w:eastAsia="Arial" w:hAnsi="Arial" w:cs="Arial"/>
          <w:color w:val="000000"/>
          <w:sz w:val="24"/>
          <w:szCs w:val="24"/>
        </w:rPr>
      </w:pPr>
    </w:p>
    <w:p w:rsidR="00D73821" w:rsidRDefault="00507434" w:rsidP="009C2E4D">
      <w:pPr>
        <w:numPr>
          <w:ilvl w:val="0"/>
          <w:numId w:val="3"/>
        </w:numPr>
        <w:pBdr>
          <w:top w:val="nil"/>
          <w:left w:val="nil"/>
          <w:bottom w:val="nil"/>
          <w:right w:val="nil"/>
          <w:between w:val="nil"/>
        </w:pBdr>
        <w:tabs>
          <w:tab w:val="left" w:pos="142"/>
        </w:tabs>
        <w:spacing w:before="12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Critical Service Level Failure</w:t>
      </w:r>
    </w:p>
    <w:p w:rsidR="00D73821" w:rsidRDefault="00507434" w:rsidP="009C2E4D">
      <w:pPr>
        <w:pBdr>
          <w:top w:val="nil"/>
          <w:left w:val="nil"/>
          <w:bottom w:val="nil"/>
          <w:right w:val="nil"/>
          <w:between w:val="nil"/>
        </w:pBdr>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On the occurrence of a Critical Service Level Failure:</w:t>
      </w:r>
    </w:p>
    <w:p w:rsidR="00D73821" w:rsidRDefault="00507434" w:rsidP="009C2E4D">
      <w:pPr>
        <w:numPr>
          <w:ilvl w:val="1"/>
          <w:numId w:val="3"/>
        </w:numPr>
        <w:pBdr>
          <w:top w:val="nil"/>
          <w:left w:val="nil"/>
          <w:bottom w:val="nil"/>
          <w:right w:val="nil"/>
          <w:between w:val="nil"/>
        </w:pBdr>
        <w:spacing w:before="120" w:after="120" w:line="240" w:lineRule="auto"/>
        <w:rPr>
          <w:color w:val="000000"/>
          <w:sz w:val="24"/>
          <w:szCs w:val="24"/>
        </w:rPr>
      </w:pPr>
      <w:r>
        <w:rPr>
          <w:rFonts w:ascii="Arial" w:eastAsia="Arial" w:hAnsi="Arial" w:cs="Arial"/>
          <w:color w:val="000000"/>
          <w:sz w:val="24"/>
          <w:szCs w:val="24"/>
        </w:rPr>
        <w:t>any Service Credits that would otherwise have accrued during the relevant Service Period shall not accrue; and</w:t>
      </w:r>
    </w:p>
    <w:p w:rsidR="00D73821" w:rsidRDefault="00507434" w:rsidP="009C2E4D">
      <w:pPr>
        <w:numPr>
          <w:ilvl w:val="1"/>
          <w:numId w:val="3"/>
        </w:numPr>
        <w:pBdr>
          <w:top w:val="nil"/>
          <w:left w:val="nil"/>
          <w:bottom w:val="nil"/>
          <w:right w:val="nil"/>
          <w:between w:val="nil"/>
        </w:pBdr>
        <w:spacing w:before="120" w:after="120" w:line="240" w:lineRule="auto"/>
        <w:rPr>
          <w:color w:val="000000"/>
          <w:sz w:val="24"/>
          <w:szCs w:val="24"/>
        </w:rPr>
      </w:pPr>
      <w:r>
        <w:rPr>
          <w:rFonts w:ascii="Arial" w:eastAsia="Arial" w:hAnsi="Arial" w:cs="Arial"/>
          <w:color w:val="000000"/>
          <w:sz w:val="24"/>
          <w:szCs w:val="24"/>
        </w:rPr>
        <w:t>the Buyer shall (subject to the Service Credit Cap) be entitled to withhold and retain as compensation a sum equal to any Charges which would otherwise have been due to the Supplier in respect of that Service Period ("</w:t>
      </w:r>
      <w:r>
        <w:rPr>
          <w:rFonts w:ascii="Arial" w:eastAsia="Arial" w:hAnsi="Arial" w:cs="Arial"/>
          <w:b/>
          <w:color w:val="000000"/>
          <w:sz w:val="24"/>
          <w:szCs w:val="24"/>
        </w:rPr>
        <w:t>Compensation for Critical Service Level Failure</w:t>
      </w:r>
      <w:r>
        <w:rPr>
          <w:rFonts w:ascii="Arial" w:eastAsia="Arial" w:hAnsi="Arial" w:cs="Arial"/>
          <w:color w:val="000000"/>
          <w:sz w:val="24"/>
          <w:szCs w:val="24"/>
        </w:rPr>
        <w:t>"),</w:t>
      </w:r>
    </w:p>
    <w:p w:rsidR="00D73821" w:rsidRDefault="00507434" w:rsidP="009C2E4D">
      <w:pPr>
        <w:pBdr>
          <w:top w:val="nil"/>
          <w:left w:val="nil"/>
          <w:bottom w:val="nil"/>
          <w:right w:val="nil"/>
          <w:between w:val="nil"/>
        </w:pBdr>
        <w:tabs>
          <w:tab w:val="left" w:pos="3402"/>
        </w:tabs>
        <w:spacing w:before="120" w:after="120" w:line="240" w:lineRule="auto"/>
        <w:ind w:left="720"/>
        <w:rPr>
          <w:rFonts w:ascii="Arial" w:eastAsia="Arial" w:hAnsi="Arial" w:cs="Arial"/>
          <w:color w:val="000000"/>
          <w:sz w:val="24"/>
          <w:szCs w:val="24"/>
        </w:rPr>
      </w:pPr>
      <w:r>
        <w:rPr>
          <w:rFonts w:ascii="Arial" w:eastAsia="Arial" w:hAnsi="Arial" w:cs="Arial"/>
          <w:color w:val="000000"/>
          <w:sz w:val="24"/>
          <w:szCs w:val="24"/>
        </w:rPr>
        <w:t>provided that the operation of this paragraph 3 shall be without prejudice to the right of the Buyer to terminate this Contract and/or to claim damages from the Supplier for material Default.</w:t>
      </w:r>
    </w:p>
    <w:p w:rsidR="00D73821" w:rsidRDefault="00D73821" w:rsidP="009C2E4D">
      <w:pPr>
        <w:pBdr>
          <w:top w:val="nil"/>
          <w:left w:val="nil"/>
          <w:bottom w:val="nil"/>
          <w:right w:val="nil"/>
          <w:between w:val="nil"/>
        </w:pBdr>
        <w:tabs>
          <w:tab w:val="left" w:pos="142"/>
        </w:tabs>
        <w:spacing w:before="120" w:after="120" w:line="240" w:lineRule="auto"/>
        <w:ind w:left="426" w:hanging="360"/>
        <w:rPr>
          <w:rFonts w:ascii="Arial" w:eastAsia="Arial" w:hAnsi="Arial" w:cs="Arial"/>
          <w:b/>
          <w:smallCaps/>
          <w:color w:val="000000"/>
          <w:sz w:val="24"/>
          <w:szCs w:val="24"/>
        </w:rPr>
      </w:pPr>
    </w:p>
    <w:p w:rsidR="00D73821" w:rsidRDefault="00507434" w:rsidP="009C2E4D">
      <w:pPr>
        <w:keepNext/>
        <w:pBdr>
          <w:top w:val="nil"/>
          <w:left w:val="nil"/>
          <w:bottom w:val="nil"/>
          <w:right w:val="nil"/>
          <w:between w:val="nil"/>
        </w:pBdr>
        <w:spacing w:before="120" w:after="120" w:line="240" w:lineRule="auto"/>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A: Service Levels and Service Credits </w:t>
      </w:r>
    </w:p>
    <w:p w:rsidR="00D73821" w:rsidRDefault="00507434" w:rsidP="009C2E4D">
      <w:pPr>
        <w:numPr>
          <w:ilvl w:val="0"/>
          <w:numId w:val="5"/>
        </w:numPr>
        <w:pBdr>
          <w:top w:val="nil"/>
          <w:left w:val="nil"/>
          <w:bottom w:val="nil"/>
          <w:right w:val="nil"/>
          <w:between w:val="nil"/>
        </w:pBdr>
        <w:tabs>
          <w:tab w:val="left" w:pos="142"/>
        </w:tabs>
        <w:spacing w:before="12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Levels</w:t>
      </w:r>
    </w:p>
    <w:p w:rsidR="00D73821" w:rsidRDefault="00507434" w:rsidP="009C2E4D">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If the level of performance of the Supplier:</w:t>
      </w:r>
    </w:p>
    <w:p w:rsidR="00D73821" w:rsidRDefault="00507434" w:rsidP="009C2E4D">
      <w:pPr>
        <w:numPr>
          <w:ilvl w:val="1"/>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is likely to or fails to meet any Service Level Performance Measure; or</w:t>
      </w:r>
    </w:p>
    <w:p w:rsidR="00D73821" w:rsidRDefault="00507434" w:rsidP="009C2E4D">
      <w:pPr>
        <w:numPr>
          <w:ilvl w:val="1"/>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is likely to cause or causes a Critical Service Failure to occur, </w:t>
      </w:r>
    </w:p>
    <w:p w:rsidR="00D73821" w:rsidRDefault="00507434" w:rsidP="009C2E4D">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the Supplier shall immediately notify the Buyer in writing and the Buyer, in its absolute discretion and without limiting any other of its rights, may:</w:t>
      </w:r>
    </w:p>
    <w:p w:rsidR="00D73821" w:rsidRDefault="00507434" w:rsidP="009C2E4D">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rsidR="00D73821" w:rsidRDefault="00507434" w:rsidP="009C2E4D">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instruct the Supplier to comply with the Rectification Plan Process; </w:t>
      </w:r>
    </w:p>
    <w:p w:rsidR="00D73821" w:rsidRDefault="00507434" w:rsidP="009C2E4D">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Service Level Failure has occurred, deduct the applicable Service Level Credits payable by the Supplier to the Buyer; and/or</w:t>
      </w:r>
    </w:p>
    <w:p w:rsidR="00D73821" w:rsidRDefault="00507434" w:rsidP="009C2E4D">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Critical Service Level Failure has occurred, exercise its right to Compensation for Critical Service Level Failure (including the right to terminate for material Default).</w:t>
      </w:r>
    </w:p>
    <w:p w:rsidR="000F4A33" w:rsidRDefault="000F4A33" w:rsidP="009C2E4D">
      <w:pPr>
        <w:pBdr>
          <w:top w:val="nil"/>
          <w:left w:val="nil"/>
          <w:bottom w:val="nil"/>
          <w:right w:val="nil"/>
          <w:between w:val="nil"/>
        </w:pBdr>
        <w:spacing w:before="120" w:after="120" w:line="240" w:lineRule="auto"/>
        <w:ind w:left="2160"/>
        <w:rPr>
          <w:rFonts w:ascii="Arial" w:eastAsia="Arial" w:hAnsi="Arial" w:cs="Arial"/>
          <w:color w:val="000000"/>
          <w:sz w:val="24"/>
          <w:szCs w:val="24"/>
        </w:rPr>
      </w:pPr>
    </w:p>
    <w:p w:rsidR="00D73821" w:rsidRDefault="00507434" w:rsidP="009C2E4D">
      <w:pPr>
        <w:numPr>
          <w:ilvl w:val="0"/>
          <w:numId w:val="5"/>
        </w:numPr>
        <w:pBdr>
          <w:top w:val="nil"/>
          <w:left w:val="nil"/>
          <w:bottom w:val="nil"/>
          <w:right w:val="nil"/>
          <w:between w:val="nil"/>
        </w:pBdr>
        <w:tabs>
          <w:tab w:val="left" w:pos="142"/>
        </w:tabs>
        <w:spacing w:before="12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Credits</w:t>
      </w:r>
    </w:p>
    <w:p w:rsidR="00D73821" w:rsidRDefault="00507434" w:rsidP="009C2E4D">
      <w:pPr>
        <w:numPr>
          <w:ilvl w:val="1"/>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use the Performance Monitoring Reports supplied by the Supplier to verify the calculation and accuracy of the Service Credits, if any, applicable to each Service Period.</w:t>
      </w:r>
    </w:p>
    <w:p w:rsidR="00D73821" w:rsidRDefault="00507434" w:rsidP="009C2E4D">
      <w:pPr>
        <w:numPr>
          <w:ilvl w:val="1"/>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Service Credits are a reduction of the amounts payable in respect of the Deliverables and do not include VAT. The Supplier shall set-off the value of any Service Credits against the appropriate invoice in accordance </w:t>
      </w:r>
      <w:r>
        <w:rPr>
          <w:rFonts w:ascii="Arial" w:eastAsia="Arial" w:hAnsi="Arial" w:cs="Arial"/>
          <w:sz w:val="24"/>
          <w:szCs w:val="24"/>
        </w:rPr>
        <w:t>with the calculation</w:t>
      </w:r>
      <w:r>
        <w:rPr>
          <w:rFonts w:ascii="Arial" w:eastAsia="Arial" w:hAnsi="Arial" w:cs="Arial"/>
          <w:color w:val="000000"/>
          <w:sz w:val="24"/>
          <w:szCs w:val="24"/>
        </w:rPr>
        <w:t xml:space="preserve"> formula in the Annex to Part A of this Schedule. </w:t>
      </w:r>
    </w:p>
    <w:p w:rsidR="00D73821" w:rsidRDefault="00507434" w:rsidP="009C2E4D">
      <w:pPr>
        <w:keepNext/>
        <w:pBdr>
          <w:top w:val="nil"/>
          <w:left w:val="nil"/>
          <w:bottom w:val="nil"/>
          <w:right w:val="nil"/>
          <w:between w:val="nil"/>
        </w:pBdr>
        <w:spacing w:before="120" w:after="120" w:line="240" w:lineRule="auto"/>
        <w:rPr>
          <w:rFonts w:ascii="Arial Bold" w:eastAsia="Arial Bold" w:hAnsi="Arial Bold" w:cs="Arial Bold"/>
          <w:b/>
          <w:color w:val="000000"/>
          <w:sz w:val="24"/>
          <w:szCs w:val="24"/>
        </w:rPr>
      </w:pPr>
      <w:r>
        <w:br w:type="page"/>
      </w:r>
      <w:r>
        <w:rPr>
          <w:rFonts w:ascii="Arial Bold" w:eastAsia="Arial Bold" w:hAnsi="Arial Bold" w:cs="Arial Bold"/>
          <w:b/>
          <w:color w:val="000000"/>
          <w:sz w:val="36"/>
          <w:szCs w:val="36"/>
        </w:rPr>
        <w:lastRenderedPageBreak/>
        <w:t>Annex A to Part A: Services Levels and Service Credits Table</w:t>
      </w:r>
    </w:p>
    <w:p w:rsidR="00D73821" w:rsidRDefault="00507434" w:rsidP="009C2E4D">
      <w:pPr>
        <w:keepNext/>
        <w:spacing w:before="120" w:after="120" w:line="240" w:lineRule="auto"/>
        <w:rPr>
          <w:rFonts w:ascii="Arial" w:eastAsia="Arial" w:hAnsi="Arial" w:cs="Arial"/>
          <w:b/>
          <w:sz w:val="32"/>
          <w:szCs w:val="32"/>
        </w:rPr>
      </w:pPr>
      <w:r>
        <w:rPr>
          <w:rFonts w:ascii="Arial" w:eastAsia="Arial" w:hAnsi="Arial" w:cs="Arial"/>
          <w:b/>
          <w:sz w:val="32"/>
          <w:szCs w:val="32"/>
        </w:rPr>
        <w:t>SERVICE LEVELS AND PERFORMANCE</w:t>
      </w:r>
    </w:p>
    <w:p w:rsidR="00D73821" w:rsidRDefault="00507434" w:rsidP="009C2E4D">
      <w:pPr>
        <w:numPr>
          <w:ilvl w:val="0"/>
          <w:numId w:val="5"/>
        </w:numPr>
        <w:tabs>
          <w:tab w:val="left" w:pos="142"/>
        </w:tabs>
        <w:spacing w:before="120" w:after="120" w:line="240" w:lineRule="auto"/>
        <w:rPr>
          <w:rFonts w:ascii="Arial Bold" w:eastAsia="Arial Bold" w:hAnsi="Arial Bold" w:cs="Arial Bold"/>
        </w:rPr>
      </w:pPr>
      <w:r>
        <w:rPr>
          <w:rFonts w:ascii="Arial Bold" w:eastAsia="Arial Bold" w:hAnsi="Arial Bold" w:cs="Arial Bold"/>
          <w:b/>
          <w:sz w:val="24"/>
          <w:szCs w:val="24"/>
        </w:rPr>
        <w:t>Service Credits</w:t>
      </w:r>
    </w:p>
    <w:p w:rsidR="00D73821" w:rsidRPr="000F4A33" w:rsidRDefault="00507434" w:rsidP="009C2E4D">
      <w:pPr>
        <w:numPr>
          <w:ilvl w:val="1"/>
          <w:numId w:val="5"/>
        </w:numPr>
        <w:tabs>
          <w:tab w:val="left" w:pos="142"/>
        </w:tabs>
        <w:spacing w:before="120" w:after="120" w:line="240" w:lineRule="auto"/>
        <w:rPr>
          <w:rFonts w:ascii="Arial Bold" w:eastAsia="Arial Bold" w:hAnsi="Arial Bold" w:cs="Arial Bold"/>
        </w:rPr>
      </w:pPr>
      <w:r>
        <w:rPr>
          <w:rFonts w:ascii="Arial" w:eastAsia="Arial" w:hAnsi="Arial" w:cs="Arial"/>
          <w:sz w:val="24"/>
          <w:szCs w:val="24"/>
        </w:rPr>
        <w:t>The Authority will measure the quality of the Supplier’s delivery by:</w:t>
      </w:r>
    </w:p>
    <w:tbl>
      <w:tblPr>
        <w:tblStyle w:val="a0"/>
        <w:tblW w:w="8280" w:type="dxa"/>
        <w:tblInd w:w="9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71"/>
        <w:gridCol w:w="2139"/>
        <w:gridCol w:w="3735"/>
        <w:gridCol w:w="1635"/>
      </w:tblGrid>
      <w:tr w:rsidR="00D73821" w:rsidTr="002D7B58">
        <w:trPr>
          <w:trHeight w:val="799"/>
        </w:trPr>
        <w:tc>
          <w:tcPr>
            <w:tcW w:w="771" w:type="dxa"/>
            <w:shd w:val="clear" w:color="auto" w:fill="B8CCE3"/>
          </w:tcPr>
          <w:p w:rsidR="00D73821" w:rsidRDefault="00507434" w:rsidP="009C2E4D">
            <w:pPr>
              <w:widowControl w:val="0"/>
              <w:spacing w:before="120" w:after="120" w:line="240" w:lineRule="auto"/>
              <w:ind w:right="156"/>
              <w:jc w:val="right"/>
              <w:rPr>
                <w:rFonts w:ascii="Arial" w:eastAsia="Arial" w:hAnsi="Arial" w:cs="Arial"/>
                <w:b/>
                <w:sz w:val="24"/>
                <w:szCs w:val="24"/>
              </w:rPr>
            </w:pPr>
            <w:r>
              <w:rPr>
                <w:rFonts w:ascii="Arial" w:eastAsia="Arial" w:hAnsi="Arial" w:cs="Arial"/>
                <w:b/>
                <w:sz w:val="24"/>
                <w:szCs w:val="24"/>
              </w:rPr>
              <w:t>KPI/SLA</w:t>
            </w:r>
          </w:p>
        </w:tc>
        <w:tc>
          <w:tcPr>
            <w:tcW w:w="2139" w:type="dxa"/>
            <w:shd w:val="clear" w:color="auto" w:fill="B8CCE3"/>
          </w:tcPr>
          <w:p w:rsidR="00D73821" w:rsidRDefault="00507434" w:rsidP="009C2E4D">
            <w:pPr>
              <w:widowControl w:val="0"/>
              <w:spacing w:before="120" w:after="120" w:line="240" w:lineRule="auto"/>
              <w:ind w:left="170"/>
              <w:rPr>
                <w:rFonts w:ascii="Arial" w:eastAsia="Arial" w:hAnsi="Arial" w:cs="Arial"/>
                <w:b/>
                <w:sz w:val="24"/>
                <w:szCs w:val="24"/>
              </w:rPr>
            </w:pPr>
            <w:r>
              <w:rPr>
                <w:rFonts w:ascii="Arial" w:eastAsia="Arial" w:hAnsi="Arial" w:cs="Arial"/>
                <w:b/>
                <w:sz w:val="24"/>
                <w:szCs w:val="24"/>
              </w:rPr>
              <w:t>Service Area</w:t>
            </w:r>
          </w:p>
        </w:tc>
        <w:tc>
          <w:tcPr>
            <w:tcW w:w="3735" w:type="dxa"/>
            <w:shd w:val="clear" w:color="auto" w:fill="B8CCE3"/>
          </w:tcPr>
          <w:p w:rsidR="00D73821" w:rsidRDefault="00507434" w:rsidP="009C2E4D">
            <w:pPr>
              <w:widowControl w:val="0"/>
              <w:spacing w:before="120" w:after="120" w:line="240" w:lineRule="auto"/>
              <w:ind w:left="736"/>
              <w:rPr>
                <w:rFonts w:ascii="Arial" w:eastAsia="Arial" w:hAnsi="Arial" w:cs="Arial"/>
                <w:b/>
                <w:sz w:val="24"/>
                <w:szCs w:val="24"/>
              </w:rPr>
            </w:pPr>
            <w:r>
              <w:rPr>
                <w:rFonts w:ascii="Arial" w:eastAsia="Arial" w:hAnsi="Arial" w:cs="Arial"/>
                <w:b/>
                <w:sz w:val="24"/>
                <w:szCs w:val="24"/>
              </w:rPr>
              <w:t>KPI/SLA description</w:t>
            </w:r>
          </w:p>
        </w:tc>
        <w:tc>
          <w:tcPr>
            <w:tcW w:w="1635" w:type="dxa"/>
            <w:shd w:val="clear" w:color="auto" w:fill="B8CCE3"/>
          </w:tcPr>
          <w:p w:rsidR="00D73821" w:rsidRDefault="00507434" w:rsidP="009C2E4D">
            <w:pPr>
              <w:widowControl w:val="0"/>
              <w:spacing w:before="120" w:after="120" w:line="240" w:lineRule="auto"/>
              <w:ind w:left="484"/>
              <w:rPr>
                <w:rFonts w:ascii="Arial" w:eastAsia="Arial" w:hAnsi="Arial" w:cs="Arial"/>
                <w:b/>
                <w:sz w:val="24"/>
                <w:szCs w:val="24"/>
              </w:rPr>
            </w:pPr>
            <w:r>
              <w:rPr>
                <w:rFonts w:ascii="Arial" w:eastAsia="Arial" w:hAnsi="Arial" w:cs="Arial"/>
                <w:b/>
                <w:sz w:val="24"/>
                <w:szCs w:val="24"/>
              </w:rPr>
              <w:t>Target</w:t>
            </w:r>
          </w:p>
        </w:tc>
      </w:tr>
      <w:tr w:rsidR="00D73821" w:rsidTr="002D7B58">
        <w:trPr>
          <w:trHeight w:val="520"/>
        </w:trPr>
        <w:tc>
          <w:tcPr>
            <w:tcW w:w="771" w:type="dxa"/>
          </w:tcPr>
          <w:p w:rsidR="00D73821" w:rsidRDefault="00507434" w:rsidP="009C2E4D">
            <w:pPr>
              <w:widowControl w:val="0"/>
              <w:spacing w:before="120" w:after="120" w:line="240" w:lineRule="auto"/>
              <w:ind w:left="29"/>
              <w:jc w:val="center"/>
              <w:rPr>
                <w:rFonts w:ascii="Arial" w:eastAsia="Arial" w:hAnsi="Arial" w:cs="Arial"/>
                <w:sz w:val="24"/>
                <w:szCs w:val="24"/>
              </w:rPr>
            </w:pPr>
            <w:r>
              <w:rPr>
                <w:rFonts w:ascii="Arial" w:eastAsia="Arial" w:hAnsi="Arial" w:cs="Arial"/>
                <w:sz w:val="24"/>
                <w:szCs w:val="24"/>
              </w:rPr>
              <w:t>1</w:t>
            </w:r>
          </w:p>
        </w:tc>
        <w:tc>
          <w:tcPr>
            <w:tcW w:w="2139" w:type="dxa"/>
          </w:tcPr>
          <w:p w:rsidR="00D73821" w:rsidRDefault="00507434" w:rsidP="009C2E4D">
            <w:pPr>
              <w:widowControl w:val="0"/>
              <w:spacing w:before="120" w:after="120" w:line="240" w:lineRule="auto"/>
              <w:ind w:left="29"/>
              <w:jc w:val="center"/>
              <w:rPr>
                <w:rFonts w:ascii="Arial" w:eastAsia="Arial" w:hAnsi="Arial" w:cs="Arial"/>
                <w:sz w:val="24"/>
                <w:szCs w:val="24"/>
              </w:rPr>
            </w:pPr>
            <w:r>
              <w:rPr>
                <w:rFonts w:ascii="Arial" w:eastAsia="Arial" w:hAnsi="Arial" w:cs="Arial"/>
                <w:sz w:val="24"/>
                <w:szCs w:val="24"/>
              </w:rPr>
              <w:t>Responsiveness</w:t>
            </w:r>
          </w:p>
        </w:tc>
        <w:tc>
          <w:tcPr>
            <w:tcW w:w="3735" w:type="dxa"/>
          </w:tcPr>
          <w:p w:rsidR="00D73821" w:rsidRDefault="00507434" w:rsidP="009C2E4D">
            <w:pPr>
              <w:pStyle w:val="Heading2"/>
              <w:keepNext w:val="0"/>
              <w:keepLines w:val="0"/>
              <w:spacing w:before="120" w:after="120" w:line="240" w:lineRule="auto"/>
              <w:rPr>
                <w:rFonts w:ascii="Arial" w:eastAsia="Arial" w:hAnsi="Arial" w:cs="Arial"/>
                <w:color w:val="000000"/>
                <w:sz w:val="24"/>
                <w:szCs w:val="24"/>
              </w:rPr>
            </w:pPr>
            <w:bookmarkStart w:id="1" w:name="_heading=h.z6t8cjku7ph2" w:colFirst="0" w:colLast="0"/>
            <w:bookmarkEnd w:id="1"/>
            <w:r>
              <w:rPr>
                <w:rFonts w:ascii="Arial" w:eastAsia="Arial" w:hAnsi="Arial" w:cs="Arial"/>
                <w:b w:val="0"/>
                <w:color w:val="000000"/>
                <w:sz w:val="24"/>
                <w:szCs w:val="24"/>
              </w:rPr>
              <w:t xml:space="preserve">Supplier must acknowledge requests submitted by the Buyer within 1 working day. </w:t>
            </w:r>
          </w:p>
        </w:tc>
        <w:tc>
          <w:tcPr>
            <w:tcW w:w="1635" w:type="dxa"/>
          </w:tcPr>
          <w:p w:rsidR="00D73821" w:rsidRDefault="00507434" w:rsidP="009C2E4D">
            <w:pPr>
              <w:pStyle w:val="Heading2"/>
              <w:keepNext w:val="0"/>
              <w:keepLines w:val="0"/>
              <w:spacing w:before="120" w:after="120" w:line="240" w:lineRule="auto"/>
              <w:jc w:val="center"/>
              <w:rPr>
                <w:rFonts w:ascii="Arial" w:eastAsia="Arial" w:hAnsi="Arial" w:cs="Arial"/>
                <w:b w:val="0"/>
                <w:color w:val="000000"/>
                <w:sz w:val="24"/>
                <w:szCs w:val="24"/>
              </w:rPr>
            </w:pPr>
            <w:bookmarkStart w:id="2" w:name="_heading=h.ygqigwgpsyr6" w:colFirst="0" w:colLast="0"/>
            <w:bookmarkEnd w:id="2"/>
            <w:r>
              <w:rPr>
                <w:rFonts w:ascii="Arial" w:eastAsia="Arial" w:hAnsi="Arial" w:cs="Arial"/>
                <w:b w:val="0"/>
                <w:color w:val="000000"/>
                <w:sz w:val="24"/>
                <w:szCs w:val="24"/>
              </w:rPr>
              <w:t>95%</w:t>
            </w:r>
          </w:p>
        </w:tc>
      </w:tr>
      <w:tr w:rsidR="00D73821" w:rsidTr="002D7B58">
        <w:trPr>
          <w:trHeight w:val="520"/>
        </w:trPr>
        <w:tc>
          <w:tcPr>
            <w:tcW w:w="771" w:type="dxa"/>
          </w:tcPr>
          <w:p w:rsidR="00D73821" w:rsidRDefault="00507434" w:rsidP="009C2E4D">
            <w:pPr>
              <w:widowControl w:val="0"/>
              <w:spacing w:before="120" w:after="120" w:line="240" w:lineRule="auto"/>
              <w:ind w:left="29"/>
              <w:jc w:val="center"/>
              <w:rPr>
                <w:rFonts w:ascii="Arial" w:eastAsia="Arial" w:hAnsi="Arial" w:cs="Arial"/>
                <w:sz w:val="24"/>
                <w:szCs w:val="24"/>
              </w:rPr>
            </w:pPr>
            <w:r>
              <w:rPr>
                <w:rFonts w:ascii="Arial" w:eastAsia="Arial" w:hAnsi="Arial" w:cs="Arial"/>
                <w:sz w:val="24"/>
                <w:szCs w:val="24"/>
              </w:rPr>
              <w:t>2</w:t>
            </w:r>
          </w:p>
        </w:tc>
        <w:tc>
          <w:tcPr>
            <w:tcW w:w="2139" w:type="dxa"/>
          </w:tcPr>
          <w:p w:rsidR="00D73821" w:rsidRDefault="00507434" w:rsidP="009C2E4D">
            <w:pPr>
              <w:widowControl w:val="0"/>
              <w:spacing w:before="120" w:after="120" w:line="240" w:lineRule="auto"/>
              <w:jc w:val="center"/>
              <w:rPr>
                <w:rFonts w:ascii="Arial" w:eastAsia="Arial" w:hAnsi="Arial" w:cs="Arial"/>
                <w:sz w:val="24"/>
                <w:szCs w:val="24"/>
              </w:rPr>
            </w:pPr>
            <w:r>
              <w:rPr>
                <w:rFonts w:ascii="Arial" w:eastAsia="Arial" w:hAnsi="Arial" w:cs="Arial"/>
                <w:sz w:val="24"/>
                <w:szCs w:val="24"/>
              </w:rPr>
              <w:t>Fieldwork</w:t>
            </w:r>
          </w:p>
        </w:tc>
        <w:tc>
          <w:tcPr>
            <w:tcW w:w="3735" w:type="dxa"/>
          </w:tcPr>
          <w:p w:rsidR="00D73821" w:rsidRDefault="00507434" w:rsidP="009C2E4D">
            <w:pPr>
              <w:widowControl w:val="0"/>
              <w:spacing w:before="120" w:after="120" w:line="240" w:lineRule="auto"/>
              <w:rPr>
                <w:rFonts w:ascii="Arial" w:eastAsia="Arial" w:hAnsi="Arial" w:cs="Arial"/>
                <w:sz w:val="24"/>
                <w:szCs w:val="24"/>
              </w:rPr>
            </w:pPr>
            <w:r>
              <w:rPr>
                <w:rFonts w:ascii="Arial" w:eastAsia="Arial" w:hAnsi="Arial" w:cs="Arial"/>
                <w:sz w:val="24"/>
                <w:szCs w:val="24"/>
              </w:rPr>
              <w:t xml:space="preserve">For both the General and Targeted samples, the supplier must recruit and conduct fieldwork with the target number of CYP (as proposed by the Supplier in their tender submission and then agreed with Buyer). </w:t>
            </w:r>
          </w:p>
        </w:tc>
        <w:tc>
          <w:tcPr>
            <w:tcW w:w="1635" w:type="dxa"/>
          </w:tcPr>
          <w:p w:rsidR="00D73821" w:rsidRDefault="00507434" w:rsidP="009C2E4D">
            <w:pPr>
              <w:widowControl w:val="0"/>
              <w:spacing w:before="120" w:after="120" w:line="240" w:lineRule="auto"/>
              <w:jc w:val="center"/>
              <w:rPr>
                <w:rFonts w:ascii="Arial" w:eastAsia="Arial" w:hAnsi="Arial" w:cs="Arial"/>
                <w:sz w:val="24"/>
                <w:szCs w:val="24"/>
              </w:rPr>
            </w:pPr>
            <w:r>
              <w:rPr>
                <w:rFonts w:ascii="Arial" w:eastAsia="Arial" w:hAnsi="Arial" w:cs="Arial"/>
                <w:sz w:val="24"/>
                <w:szCs w:val="24"/>
              </w:rPr>
              <w:t>95%</w:t>
            </w:r>
          </w:p>
        </w:tc>
      </w:tr>
    </w:tbl>
    <w:p w:rsidR="00D73821" w:rsidRDefault="00507434" w:rsidP="009C2E4D">
      <w:pPr>
        <w:numPr>
          <w:ilvl w:val="1"/>
          <w:numId w:val="5"/>
        </w:numPr>
        <w:tabs>
          <w:tab w:val="left" w:pos="142"/>
        </w:tabs>
        <w:spacing w:before="120" w:after="120" w:line="240" w:lineRule="auto"/>
        <w:rPr>
          <w:rFonts w:ascii="Arial Bold" w:eastAsia="Arial Bold" w:hAnsi="Arial Bold" w:cs="Arial Bold"/>
        </w:rPr>
      </w:pPr>
      <w:r>
        <w:rPr>
          <w:rFonts w:ascii="Arial" w:eastAsia="Arial" w:hAnsi="Arial" w:cs="Arial"/>
          <w:sz w:val="24"/>
          <w:szCs w:val="24"/>
        </w:rPr>
        <w:t xml:space="preserve">Given the breadth of the research scope and the need for robust research findings to inform the hearings, it is important that fieldwork is conducted with sufficient numbers of CYPs. Service credits will be applied for SLA 2 (Fieldwork) - i.e. if the Supplier is unable to recruit and conduct fieldwork with the target number of CYPs (as proposed by the Supplier in their tender submission and then agreed with Buyer during scoping discussions). </w:t>
      </w:r>
    </w:p>
    <w:p w:rsidR="00D73821" w:rsidRDefault="00507434" w:rsidP="009C2E4D">
      <w:pPr>
        <w:numPr>
          <w:ilvl w:val="1"/>
          <w:numId w:val="5"/>
        </w:numPr>
        <w:tabs>
          <w:tab w:val="left" w:pos="142"/>
        </w:tabs>
        <w:spacing w:before="120" w:after="120" w:line="240" w:lineRule="auto"/>
        <w:rPr>
          <w:rFonts w:ascii="Arial Bold" w:eastAsia="Arial Bold" w:hAnsi="Arial Bold" w:cs="Arial Bold"/>
        </w:rPr>
      </w:pPr>
      <w:r>
        <w:rPr>
          <w:rFonts w:ascii="Arial" w:eastAsia="Arial" w:hAnsi="Arial" w:cs="Arial"/>
          <w:sz w:val="24"/>
          <w:szCs w:val="24"/>
        </w:rPr>
        <w:t xml:space="preserve">Service credits will be applied across the total Charges Payable across the contract lifetime. </w:t>
      </w:r>
    </w:p>
    <w:p w:rsidR="00D73821" w:rsidRDefault="00507434" w:rsidP="009C2E4D">
      <w:pPr>
        <w:widowControl w:val="0"/>
        <w:numPr>
          <w:ilvl w:val="1"/>
          <w:numId w:val="5"/>
        </w:numPr>
        <w:tabs>
          <w:tab w:val="left" w:pos="979"/>
          <w:tab w:val="left" w:pos="980"/>
        </w:tabs>
        <w:spacing w:before="120" w:after="120" w:line="240" w:lineRule="auto"/>
        <w:ind w:right="124"/>
        <w:rPr>
          <w:rFonts w:ascii="Arial Bold" w:eastAsia="Arial Bold" w:hAnsi="Arial Bold" w:cs="Arial Bold"/>
        </w:rPr>
      </w:pPr>
      <w:r>
        <w:rPr>
          <w:rFonts w:ascii="Arial" w:eastAsia="Arial" w:hAnsi="Arial" w:cs="Arial"/>
          <w:sz w:val="24"/>
          <w:szCs w:val="24"/>
        </w:rPr>
        <w:t>As stated in Attachment 4: Pricing Model, fieldwork charges will be calculated by Unit Price x Quantity Delivered.</w:t>
      </w:r>
    </w:p>
    <w:p w:rsidR="00D73821" w:rsidRDefault="00507434" w:rsidP="009C2E4D">
      <w:pPr>
        <w:numPr>
          <w:ilvl w:val="1"/>
          <w:numId w:val="5"/>
        </w:numPr>
        <w:tabs>
          <w:tab w:val="left" w:pos="142"/>
        </w:tabs>
        <w:spacing w:before="120" w:after="120" w:line="240" w:lineRule="auto"/>
        <w:rPr>
          <w:rFonts w:ascii="Arial Bold" w:eastAsia="Arial Bold" w:hAnsi="Arial Bold" w:cs="Arial Bold"/>
        </w:rPr>
      </w:pPr>
      <w:r>
        <w:rPr>
          <w:rFonts w:ascii="Arial" w:eastAsia="Arial" w:hAnsi="Arial" w:cs="Arial"/>
          <w:sz w:val="24"/>
          <w:szCs w:val="24"/>
        </w:rPr>
        <w:t>If a Supplier faces service credits for failing to deliver the agreed General and Targeted samples, both sets of service credits will be applied additively.</w:t>
      </w:r>
    </w:p>
    <w:p w:rsidR="00D73821" w:rsidRPr="000F4A33" w:rsidRDefault="00507434" w:rsidP="009C2E4D">
      <w:pPr>
        <w:numPr>
          <w:ilvl w:val="1"/>
          <w:numId w:val="5"/>
        </w:numPr>
        <w:tabs>
          <w:tab w:val="left" w:pos="142"/>
        </w:tabs>
        <w:spacing w:before="120" w:after="120" w:line="240" w:lineRule="auto"/>
        <w:rPr>
          <w:rFonts w:ascii="Arial Bold" w:eastAsia="Arial Bold" w:hAnsi="Arial Bold" w:cs="Arial Bold"/>
        </w:rPr>
      </w:pPr>
      <w:r>
        <w:rPr>
          <w:rFonts w:ascii="Arial" w:eastAsia="Arial" w:hAnsi="Arial" w:cs="Arial"/>
          <w:sz w:val="24"/>
          <w:szCs w:val="24"/>
        </w:rPr>
        <w:t xml:space="preserve">A breakdown of the service credits that will be applied if the agreed General and Targeted samples are not met are shown in the table </w:t>
      </w:r>
      <w:r w:rsidRPr="002D7B58">
        <w:rPr>
          <w:rFonts w:ascii="Arial" w:eastAsia="Arial" w:hAnsi="Arial" w:cs="Arial"/>
          <w:sz w:val="24"/>
          <w:szCs w:val="24"/>
          <w:shd w:val="clear" w:color="auto" w:fill="FFFFFF" w:themeFill="background1"/>
        </w:rPr>
        <w:t>3.6.1</w:t>
      </w:r>
      <w:r>
        <w:rPr>
          <w:rFonts w:ascii="Arial" w:eastAsia="Arial" w:hAnsi="Arial" w:cs="Arial"/>
          <w:sz w:val="24"/>
          <w:szCs w:val="24"/>
        </w:rPr>
        <w:t xml:space="preserve"> below.</w:t>
      </w:r>
    </w:p>
    <w:p w:rsidR="00515224" w:rsidRDefault="00515224" w:rsidP="00515224">
      <w:pPr>
        <w:tabs>
          <w:tab w:val="left" w:pos="142"/>
        </w:tabs>
        <w:spacing w:before="120" w:after="120" w:line="240" w:lineRule="auto"/>
        <w:ind w:left="720"/>
        <w:rPr>
          <w:rFonts w:ascii="Arial Bold" w:eastAsia="Arial Bold" w:hAnsi="Arial Bold" w:cs="Arial Bold"/>
        </w:rPr>
      </w:pPr>
    </w:p>
    <w:p w:rsidR="00D73821" w:rsidRDefault="00D73821" w:rsidP="00515224">
      <w:pPr>
        <w:pStyle w:val="BodyTextIndent"/>
        <w:numPr>
          <w:ilvl w:val="0"/>
          <w:numId w:val="0"/>
        </w:numPr>
        <w:ind w:left="720" w:hanging="720"/>
        <w:rPr>
          <w:rFonts w:eastAsia="Arial"/>
        </w:rPr>
      </w:pPr>
    </w:p>
    <w:p w:rsidR="00515224" w:rsidRDefault="00515224" w:rsidP="00515224">
      <w:pPr>
        <w:pStyle w:val="BodyTextIndent"/>
        <w:numPr>
          <w:ilvl w:val="0"/>
          <w:numId w:val="0"/>
        </w:numPr>
        <w:ind w:left="720" w:hanging="720"/>
        <w:rPr>
          <w:rFonts w:eastAsia="Arial"/>
        </w:rPr>
      </w:pPr>
    </w:p>
    <w:p w:rsidR="00515224" w:rsidRDefault="00515224" w:rsidP="00515224">
      <w:pPr>
        <w:pStyle w:val="BodyTextIndent"/>
        <w:numPr>
          <w:ilvl w:val="0"/>
          <w:numId w:val="0"/>
        </w:numPr>
        <w:ind w:left="720" w:hanging="720"/>
        <w:rPr>
          <w:rFonts w:eastAsia="Arial"/>
        </w:rPr>
      </w:pPr>
      <w:bookmarkStart w:id="3" w:name="_GoBack"/>
      <w:bookmarkEnd w:id="3"/>
    </w:p>
    <w:tbl>
      <w:tblPr>
        <w:tblStyle w:val="a1"/>
        <w:tblW w:w="88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00"/>
        <w:gridCol w:w="1455"/>
        <w:gridCol w:w="1695"/>
        <w:gridCol w:w="1455"/>
        <w:gridCol w:w="2445"/>
      </w:tblGrid>
      <w:tr w:rsidR="00D73821">
        <w:trPr>
          <w:trHeight w:val="525"/>
          <w:jc w:val="center"/>
        </w:trPr>
        <w:tc>
          <w:tcPr>
            <w:tcW w:w="6405" w:type="dxa"/>
            <w:gridSpan w:val="4"/>
            <w:shd w:val="clear" w:color="auto" w:fill="D9D9D9"/>
          </w:tcPr>
          <w:p w:rsidR="00D73821" w:rsidRDefault="00507434" w:rsidP="009C2E4D">
            <w:pPr>
              <w:spacing w:before="120" w:after="120" w:line="240" w:lineRule="auto"/>
              <w:ind w:left="95"/>
              <w:jc w:val="center"/>
              <w:rPr>
                <w:rFonts w:ascii="Arial" w:eastAsia="Arial" w:hAnsi="Arial" w:cs="Arial"/>
                <w:sz w:val="24"/>
                <w:szCs w:val="24"/>
              </w:rPr>
            </w:pPr>
            <w:r>
              <w:rPr>
                <w:rFonts w:ascii="Arial" w:eastAsia="Arial" w:hAnsi="Arial" w:cs="Arial"/>
                <w:sz w:val="24"/>
                <w:szCs w:val="24"/>
              </w:rPr>
              <w:lastRenderedPageBreak/>
              <w:t>Service Levels</w:t>
            </w:r>
          </w:p>
        </w:tc>
        <w:tc>
          <w:tcPr>
            <w:tcW w:w="2445" w:type="dxa"/>
            <w:vMerge w:val="restart"/>
            <w:shd w:val="clear" w:color="auto" w:fill="D9D9D9"/>
            <w:vAlign w:val="center"/>
          </w:tcPr>
          <w:p w:rsidR="00D73821" w:rsidRDefault="00507434" w:rsidP="009C2E4D">
            <w:pPr>
              <w:spacing w:before="120" w:after="120" w:line="240" w:lineRule="auto"/>
              <w:ind w:left="95"/>
              <w:rPr>
                <w:rFonts w:ascii="Arial" w:eastAsia="Arial" w:hAnsi="Arial" w:cs="Arial"/>
                <w:sz w:val="24"/>
                <w:szCs w:val="24"/>
              </w:rPr>
            </w:pPr>
            <w:r>
              <w:rPr>
                <w:rFonts w:ascii="Arial" w:eastAsia="Arial" w:hAnsi="Arial" w:cs="Arial"/>
                <w:sz w:val="24"/>
                <w:szCs w:val="24"/>
              </w:rPr>
              <w:t>Service Credit Value</w:t>
            </w:r>
          </w:p>
          <w:p w:rsidR="00D73821" w:rsidRDefault="00D73821" w:rsidP="009C2E4D">
            <w:pPr>
              <w:spacing w:before="120" w:after="120" w:line="240" w:lineRule="auto"/>
              <w:ind w:left="95"/>
              <w:rPr>
                <w:rFonts w:ascii="Arial" w:eastAsia="Arial" w:hAnsi="Arial" w:cs="Arial"/>
                <w:sz w:val="24"/>
                <w:szCs w:val="24"/>
              </w:rPr>
            </w:pPr>
          </w:p>
        </w:tc>
      </w:tr>
      <w:tr w:rsidR="00D73821">
        <w:trPr>
          <w:trHeight w:val="975"/>
          <w:jc w:val="center"/>
        </w:trPr>
        <w:tc>
          <w:tcPr>
            <w:tcW w:w="1800" w:type="dxa"/>
            <w:shd w:val="clear" w:color="auto" w:fill="D9D9D9"/>
            <w:vAlign w:val="center"/>
          </w:tcPr>
          <w:p w:rsidR="00D73821" w:rsidRDefault="00507434" w:rsidP="009C2E4D">
            <w:pPr>
              <w:spacing w:before="120" w:after="120" w:line="240" w:lineRule="auto"/>
              <w:ind w:left="61"/>
              <w:rPr>
                <w:rFonts w:ascii="Arial" w:eastAsia="Arial" w:hAnsi="Arial" w:cs="Arial"/>
                <w:sz w:val="24"/>
                <w:szCs w:val="24"/>
              </w:rPr>
            </w:pPr>
            <w:r>
              <w:rPr>
                <w:rFonts w:ascii="Arial" w:eastAsia="Arial" w:hAnsi="Arial" w:cs="Arial"/>
                <w:sz w:val="24"/>
                <w:szCs w:val="24"/>
              </w:rPr>
              <w:t>Service Level Performance Criterion</w:t>
            </w:r>
          </w:p>
        </w:tc>
        <w:tc>
          <w:tcPr>
            <w:tcW w:w="1455" w:type="dxa"/>
            <w:shd w:val="clear" w:color="auto" w:fill="D9D9D9"/>
            <w:vAlign w:val="center"/>
          </w:tcPr>
          <w:p w:rsidR="00D73821" w:rsidRDefault="00507434" w:rsidP="009C2E4D">
            <w:pPr>
              <w:spacing w:before="120" w:after="120" w:line="240" w:lineRule="auto"/>
              <w:ind w:left="95"/>
              <w:rPr>
                <w:rFonts w:ascii="Arial" w:eastAsia="Arial" w:hAnsi="Arial" w:cs="Arial"/>
                <w:sz w:val="24"/>
                <w:szCs w:val="24"/>
              </w:rPr>
            </w:pPr>
            <w:r>
              <w:rPr>
                <w:rFonts w:ascii="Arial" w:eastAsia="Arial" w:hAnsi="Arial" w:cs="Arial"/>
                <w:sz w:val="24"/>
                <w:szCs w:val="24"/>
              </w:rPr>
              <w:t>Key Indicator</w:t>
            </w:r>
          </w:p>
        </w:tc>
        <w:tc>
          <w:tcPr>
            <w:tcW w:w="1695" w:type="dxa"/>
            <w:shd w:val="clear" w:color="auto" w:fill="D9D9D9"/>
            <w:vAlign w:val="center"/>
          </w:tcPr>
          <w:p w:rsidR="00D73821" w:rsidRDefault="00507434" w:rsidP="009C2E4D">
            <w:pPr>
              <w:spacing w:before="120" w:after="120" w:line="240" w:lineRule="auto"/>
              <w:rPr>
                <w:rFonts w:ascii="Arial" w:eastAsia="Arial" w:hAnsi="Arial" w:cs="Arial"/>
                <w:sz w:val="24"/>
                <w:szCs w:val="24"/>
              </w:rPr>
            </w:pPr>
            <w:r>
              <w:rPr>
                <w:rFonts w:ascii="Arial" w:eastAsia="Arial" w:hAnsi="Arial" w:cs="Arial"/>
                <w:sz w:val="24"/>
                <w:szCs w:val="24"/>
              </w:rPr>
              <w:t>Service Level Performance Measure</w:t>
            </w:r>
          </w:p>
        </w:tc>
        <w:tc>
          <w:tcPr>
            <w:tcW w:w="1455" w:type="dxa"/>
            <w:shd w:val="clear" w:color="auto" w:fill="D9D9D9"/>
          </w:tcPr>
          <w:p w:rsidR="00D73821" w:rsidRDefault="00507434" w:rsidP="009C2E4D">
            <w:pPr>
              <w:spacing w:before="120" w:after="120" w:line="240" w:lineRule="auto"/>
              <w:ind w:left="95"/>
              <w:rPr>
                <w:rFonts w:ascii="Arial" w:eastAsia="Arial" w:hAnsi="Arial" w:cs="Arial"/>
                <w:sz w:val="24"/>
                <w:szCs w:val="24"/>
              </w:rPr>
            </w:pPr>
            <w:r>
              <w:rPr>
                <w:rFonts w:ascii="Arial" w:eastAsia="Arial" w:hAnsi="Arial" w:cs="Arial"/>
                <w:sz w:val="24"/>
                <w:szCs w:val="24"/>
              </w:rPr>
              <w:t>Service Level Threshold</w:t>
            </w:r>
          </w:p>
        </w:tc>
        <w:tc>
          <w:tcPr>
            <w:tcW w:w="2445" w:type="dxa"/>
            <w:vMerge/>
            <w:shd w:val="clear" w:color="auto" w:fill="D9D9D9"/>
            <w:vAlign w:val="center"/>
          </w:tcPr>
          <w:p w:rsidR="00D73821" w:rsidRDefault="00D73821" w:rsidP="009C2E4D">
            <w:pPr>
              <w:widowControl w:val="0"/>
              <w:spacing w:before="120" w:after="120" w:line="240" w:lineRule="auto"/>
              <w:rPr>
                <w:rFonts w:ascii="Arial" w:eastAsia="Arial" w:hAnsi="Arial" w:cs="Arial"/>
                <w:sz w:val="24"/>
                <w:szCs w:val="24"/>
              </w:rPr>
            </w:pPr>
          </w:p>
        </w:tc>
      </w:tr>
      <w:tr w:rsidR="00D73821">
        <w:trPr>
          <w:trHeight w:val="1474"/>
          <w:jc w:val="center"/>
        </w:trPr>
        <w:tc>
          <w:tcPr>
            <w:tcW w:w="1800" w:type="dxa"/>
          </w:tcPr>
          <w:p w:rsidR="00D73821" w:rsidRDefault="00507434" w:rsidP="009C2E4D">
            <w:pPr>
              <w:spacing w:before="120" w:after="120" w:line="240" w:lineRule="auto"/>
              <w:ind w:left="61"/>
              <w:rPr>
                <w:rFonts w:ascii="Arial" w:eastAsia="Arial" w:hAnsi="Arial" w:cs="Arial"/>
                <w:sz w:val="24"/>
                <w:szCs w:val="24"/>
              </w:rPr>
            </w:pPr>
            <w:r>
              <w:rPr>
                <w:rFonts w:ascii="Arial" w:eastAsia="Arial" w:hAnsi="Arial" w:cs="Arial"/>
                <w:sz w:val="24"/>
                <w:szCs w:val="24"/>
              </w:rPr>
              <w:t>General Fieldwork</w:t>
            </w:r>
          </w:p>
        </w:tc>
        <w:tc>
          <w:tcPr>
            <w:tcW w:w="1455" w:type="dxa"/>
          </w:tcPr>
          <w:p w:rsidR="00D73821" w:rsidRDefault="00507434" w:rsidP="009C2E4D">
            <w:pPr>
              <w:spacing w:before="120" w:after="120" w:line="240" w:lineRule="auto"/>
              <w:ind w:left="95"/>
              <w:rPr>
                <w:rFonts w:ascii="Arial" w:eastAsia="Arial" w:hAnsi="Arial" w:cs="Arial"/>
                <w:sz w:val="24"/>
                <w:szCs w:val="24"/>
              </w:rPr>
            </w:pPr>
            <w:r>
              <w:rPr>
                <w:rFonts w:ascii="Arial" w:eastAsia="Arial" w:hAnsi="Arial" w:cs="Arial"/>
                <w:sz w:val="24"/>
                <w:szCs w:val="24"/>
              </w:rPr>
              <w:t>Proportion of agreed fieldwork target met (n=300*)</w:t>
            </w:r>
          </w:p>
          <w:p w:rsidR="00D73821" w:rsidRDefault="00D73821" w:rsidP="009C2E4D">
            <w:pPr>
              <w:spacing w:before="120" w:after="120" w:line="240" w:lineRule="auto"/>
              <w:ind w:left="95"/>
              <w:rPr>
                <w:rFonts w:ascii="Arial" w:eastAsia="Arial" w:hAnsi="Arial" w:cs="Arial"/>
                <w:sz w:val="24"/>
                <w:szCs w:val="24"/>
              </w:rPr>
            </w:pPr>
          </w:p>
        </w:tc>
        <w:tc>
          <w:tcPr>
            <w:tcW w:w="1695" w:type="dxa"/>
          </w:tcPr>
          <w:p w:rsidR="00D73821" w:rsidRDefault="00507434" w:rsidP="009C2E4D">
            <w:pPr>
              <w:spacing w:before="120" w:after="120" w:line="240" w:lineRule="auto"/>
              <w:rPr>
                <w:rFonts w:ascii="Arial" w:eastAsia="Arial" w:hAnsi="Arial" w:cs="Arial"/>
                <w:sz w:val="24"/>
                <w:szCs w:val="24"/>
              </w:rPr>
            </w:pPr>
            <w:r>
              <w:rPr>
                <w:rFonts w:ascii="Arial" w:eastAsia="Arial" w:hAnsi="Arial" w:cs="Arial"/>
                <w:sz w:val="24"/>
                <w:szCs w:val="24"/>
              </w:rPr>
              <w:t>within agreed fieldwork period</w:t>
            </w:r>
          </w:p>
          <w:p w:rsidR="00D73821" w:rsidRDefault="00D73821" w:rsidP="009C2E4D">
            <w:pPr>
              <w:spacing w:before="120" w:after="120" w:line="240" w:lineRule="auto"/>
              <w:rPr>
                <w:rFonts w:ascii="Arial" w:eastAsia="Arial" w:hAnsi="Arial" w:cs="Arial"/>
                <w:sz w:val="24"/>
                <w:szCs w:val="24"/>
              </w:rPr>
            </w:pPr>
          </w:p>
        </w:tc>
        <w:tc>
          <w:tcPr>
            <w:tcW w:w="1455" w:type="dxa"/>
          </w:tcPr>
          <w:p w:rsidR="00D73821" w:rsidRPr="00B25867" w:rsidRDefault="00C730CC" w:rsidP="009C2E4D">
            <w:pPr>
              <w:spacing w:before="120" w:after="120" w:line="240" w:lineRule="auto"/>
              <w:ind w:left="95"/>
              <w:rPr>
                <w:rFonts w:ascii="Arial" w:eastAsia="Arial" w:hAnsi="Arial" w:cs="Arial"/>
                <w:sz w:val="24"/>
                <w:szCs w:val="24"/>
                <w:highlight w:val="yellow"/>
              </w:rPr>
            </w:pPr>
            <w:r>
              <w:rPr>
                <w:rFonts w:ascii="Arial" w:eastAsia="Arial" w:hAnsi="Arial" w:cs="Arial"/>
                <w:sz w:val="24"/>
                <w:szCs w:val="24"/>
              </w:rPr>
              <w:t>at least 95% (n&gt;=285*)</w:t>
            </w:r>
          </w:p>
        </w:tc>
        <w:tc>
          <w:tcPr>
            <w:tcW w:w="2445" w:type="dxa"/>
          </w:tcPr>
          <w:p w:rsidR="00D73821" w:rsidRDefault="00507434" w:rsidP="009C2E4D">
            <w:pPr>
              <w:spacing w:before="120" w:after="120" w:line="240" w:lineRule="auto"/>
              <w:ind w:left="95"/>
              <w:rPr>
                <w:rFonts w:ascii="Arial" w:eastAsia="Arial" w:hAnsi="Arial" w:cs="Arial"/>
                <w:sz w:val="24"/>
                <w:szCs w:val="24"/>
              </w:rPr>
            </w:pPr>
            <w:r>
              <w:rPr>
                <w:rFonts w:ascii="Arial" w:eastAsia="Arial" w:hAnsi="Arial" w:cs="Arial"/>
                <w:sz w:val="24"/>
                <w:szCs w:val="24"/>
              </w:rPr>
              <w:t>0.25% Service Credit gained for each percentage under the specified Service Level Performance Measure</w:t>
            </w:r>
          </w:p>
        </w:tc>
      </w:tr>
      <w:tr w:rsidR="00D73821">
        <w:trPr>
          <w:trHeight w:val="2356"/>
          <w:jc w:val="center"/>
        </w:trPr>
        <w:tc>
          <w:tcPr>
            <w:tcW w:w="1800" w:type="dxa"/>
          </w:tcPr>
          <w:p w:rsidR="00D73821" w:rsidRDefault="00507434" w:rsidP="009C2E4D">
            <w:pPr>
              <w:spacing w:before="120" w:after="120" w:line="240" w:lineRule="auto"/>
              <w:ind w:left="61"/>
              <w:rPr>
                <w:rFonts w:ascii="Arial" w:eastAsia="Arial" w:hAnsi="Arial" w:cs="Arial"/>
                <w:sz w:val="24"/>
                <w:szCs w:val="24"/>
              </w:rPr>
            </w:pPr>
            <w:r>
              <w:rPr>
                <w:rFonts w:ascii="Arial" w:eastAsia="Arial" w:hAnsi="Arial" w:cs="Arial"/>
                <w:sz w:val="24"/>
                <w:szCs w:val="24"/>
              </w:rPr>
              <w:t>Targeted Fieldwork</w:t>
            </w:r>
          </w:p>
          <w:p w:rsidR="00D73821" w:rsidRDefault="00D73821" w:rsidP="009C2E4D">
            <w:pPr>
              <w:spacing w:before="120" w:after="120" w:line="240" w:lineRule="auto"/>
              <w:ind w:left="61"/>
              <w:rPr>
                <w:rFonts w:ascii="Arial" w:eastAsia="Arial" w:hAnsi="Arial" w:cs="Arial"/>
                <w:sz w:val="24"/>
                <w:szCs w:val="24"/>
              </w:rPr>
            </w:pPr>
          </w:p>
        </w:tc>
        <w:tc>
          <w:tcPr>
            <w:tcW w:w="1455" w:type="dxa"/>
          </w:tcPr>
          <w:p w:rsidR="00D73821" w:rsidRDefault="00507434" w:rsidP="009C2E4D">
            <w:pPr>
              <w:spacing w:before="120" w:after="120" w:line="240" w:lineRule="auto"/>
              <w:ind w:left="95"/>
              <w:rPr>
                <w:rFonts w:ascii="Arial" w:eastAsia="Arial" w:hAnsi="Arial" w:cs="Arial"/>
                <w:sz w:val="24"/>
                <w:szCs w:val="24"/>
              </w:rPr>
            </w:pPr>
            <w:r>
              <w:rPr>
                <w:rFonts w:ascii="Arial" w:eastAsia="Arial" w:hAnsi="Arial" w:cs="Arial"/>
                <w:sz w:val="24"/>
                <w:szCs w:val="24"/>
              </w:rPr>
              <w:t>Proportion of agreed fieldwork target met (n=300*)</w:t>
            </w:r>
          </w:p>
          <w:p w:rsidR="00D73821" w:rsidRDefault="00D73821" w:rsidP="009C2E4D">
            <w:pPr>
              <w:spacing w:before="120" w:after="120" w:line="240" w:lineRule="auto"/>
              <w:ind w:left="95"/>
              <w:rPr>
                <w:rFonts w:ascii="Arial" w:eastAsia="Arial" w:hAnsi="Arial" w:cs="Arial"/>
                <w:sz w:val="24"/>
                <w:szCs w:val="24"/>
              </w:rPr>
            </w:pPr>
          </w:p>
          <w:p w:rsidR="00D73821" w:rsidRDefault="00D73821" w:rsidP="009C2E4D">
            <w:pPr>
              <w:spacing w:before="120" w:after="120" w:line="240" w:lineRule="auto"/>
              <w:ind w:left="95"/>
              <w:rPr>
                <w:rFonts w:ascii="Arial" w:eastAsia="Arial" w:hAnsi="Arial" w:cs="Arial"/>
                <w:sz w:val="24"/>
                <w:szCs w:val="24"/>
              </w:rPr>
            </w:pPr>
          </w:p>
        </w:tc>
        <w:tc>
          <w:tcPr>
            <w:tcW w:w="1695" w:type="dxa"/>
          </w:tcPr>
          <w:p w:rsidR="00D73821" w:rsidRDefault="00507434" w:rsidP="009C2E4D">
            <w:pPr>
              <w:spacing w:before="120" w:after="120" w:line="240" w:lineRule="auto"/>
              <w:rPr>
                <w:rFonts w:ascii="Arial" w:eastAsia="Arial" w:hAnsi="Arial" w:cs="Arial"/>
                <w:sz w:val="24"/>
                <w:szCs w:val="24"/>
              </w:rPr>
            </w:pPr>
            <w:r>
              <w:rPr>
                <w:rFonts w:ascii="Arial" w:eastAsia="Arial" w:hAnsi="Arial" w:cs="Arial"/>
                <w:sz w:val="24"/>
                <w:szCs w:val="24"/>
              </w:rPr>
              <w:t>within agreed fieldwork period</w:t>
            </w:r>
          </w:p>
          <w:p w:rsidR="00D73821" w:rsidRDefault="00D73821" w:rsidP="009C2E4D">
            <w:pPr>
              <w:spacing w:before="120" w:after="120" w:line="240" w:lineRule="auto"/>
              <w:rPr>
                <w:rFonts w:ascii="Arial" w:eastAsia="Arial" w:hAnsi="Arial" w:cs="Arial"/>
                <w:sz w:val="24"/>
                <w:szCs w:val="24"/>
              </w:rPr>
            </w:pPr>
          </w:p>
        </w:tc>
        <w:tc>
          <w:tcPr>
            <w:tcW w:w="1455" w:type="dxa"/>
          </w:tcPr>
          <w:p w:rsidR="00D73821" w:rsidRPr="00B25867" w:rsidRDefault="00C730CC" w:rsidP="009C2E4D">
            <w:pPr>
              <w:spacing w:before="120" w:after="120" w:line="240" w:lineRule="auto"/>
              <w:ind w:left="95"/>
              <w:rPr>
                <w:rFonts w:ascii="Arial" w:eastAsia="Arial" w:hAnsi="Arial" w:cs="Arial"/>
                <w:sz w:val="24"/>
                <w:szCs w:val="24"/>
                <w:highlight w:val="yellow"/>
              </w:rPr>
            </w:pPr>
            <w:r>
              <w:rPr>
                <w:rFonts w:ascii="Arial" w:eastAsia="Arial" w:hAnsi="Arial" w:cs="Arial"/>
                <w:sz w:val="24"/>
                <w:szCs w:val="24"/>
              </w:rPr>
              <w:t>at least 95% (n&gt;=285*)</w:t>
            </w:r>
          </w:p>
        </w:tc>
        <w:tc>
          <w:tcPr>
            <w:tcW w:w="2445" w:type="dxa"/>
          </w:tcPr>
          <w:p w:rsidR="00D73821" w:rsidRDefault="00507434" w:rsidP="009C2E4D">
            <w:pPr>
              <w:spacing w:before="120" w:after="120" w:line="240" w:lineRule="auto"/>
              <w:ind w:left="95"/>
              <w:rPr>
                <w:rFonts w:ascii="Arial" w:eastAsia="Arial" w:hAnsi="Arial" w:cs="Arial"/>
                <w:sz w:val="24"/>
                <w:szCs w:val="24"/>
              </w:rPr>
            </w:pPr>
            <w:r>
              <w:rPr>
                <w:rFonts w:ascii="Arial" w:eastAsia="Arial" w:hAnsi="Arial" w:cs="Arial"/>
                <w:sz w:val="24"/>
                <w:szCs w:val="24"/>
              </w:rPr>
              <w:t>0.25% Service Credit gained for each percentage under the specified Service Level Performance Measure</w:t>
            </w:r>
          </w:p>
        </w:tc>
      </w:tr>
    </w:tbl>
    <w:p w:rsidR="00D73821" w:rsidRPr="000F4A33" w:rsidRDefault="00507434" w:rsidP="009C2E4D">
      <w:pPr>
        <w:widowControl w:val="0"/>
        <w:tabs>
          <w:tab w:val="left" w:pos="979"/>
          <w:tab w:val="left" w:pos="980"/>
        </w:tabs>
        <w:spacing w:before="120" w:after="120" w:line="240" w:lineRule="auto"/>
        <w:ind w:right="124"/>
        <w:rPr>
          <w:rFonts w:ascii="Arial" w:eastAsia="Arial" w:hAnsi="Arial" w:cs="Arial"/>
          <w:b/>
          <w:i/>
          <w:sz w:val="24"/>
          <w:szCs w:val="24"/>
        </w:rPr>
      </w:pPr>
      <w:r>
        <w:rPr>
          <w:rFonts w:ascii="Arial" w:eastAsia="Arial" w:hAnsi="Arial" w:cs="Arial"/>
          <w:b/>
          <w:i/>
          <w:sz w:val="24"/>
          <w:szCs w:val="24"/>
        </w:rPr>
        <w:t xml:space="preserve">*Assuming default n=300 for General sample and n=300 for Targeted sample. We are open to bids with other proposed sample sizes that meet our requirements. </w:t>
      </w:r>
    </w:p>
    <w:p w:rsidR="00C730CC" w:rsidRDefault="00C730CC" w:rsidP="00C730CC">
      <w:pPr>
        <w:widowControl w:val="0"/>
        <w:tabs>
          <w:tab w:val="left" w:pos="979"/>
          <w:tab w:val="left" w:pos="980"/>
        </w:tabs>
        <w:spacing w:before="120" w:after="120" w:line="240" w:lineRule="auto"/>
        <w:ind w:right="124"/>
        <w:rPr>
          <w:rFonts w:ascii="Arial" w:eastAsia="Arial" w:hAnsi="Arial" w:cs="Arial"/>
          <w:b/>
          <w:i/>
          <w:sz w:val="24"/>
          <w:szCs w:val="24"/>
        </w:rPr>
      </w:pPr>
      <w:r>
        <w:rPr>
          <w:rFonts w:ascii="Arial" w:eastAsia="Arial" w:hAnsi="Arial" w:cs="Arial"/>
          <w:b/>
          <w:i/>
          <w:sz w:val="24"/>
          <w:szCs w:val="24"/>
        </w:rPr>
        <w:t xml:space="preserve">*Assuming default n=300 for General sample and n=300 for Targeted sample. </w:t>
      </w:r>
    </w:p>
    <w:p w:rsidR="00C730CC" w:rsidRPr="000F4A33" w:rsidRDefault="00C730CC" w:rsidP="00C730CC">
      <w:pPr>
        <w:widowControl w:val="0"/>
        <w:tabs>
          <w:tab w:val="left" w:pos="979"/>
          <w:tab w:val="left" w:pos="980"/>
        </w:tabs>
        <w:spacing w:before="120" w:after="120" w:line="240" w:lineRule="auto"/>
        <w:ind w:right="124"/>
        <w:rPr>
          <w:rFonts w:ascii="Arial" w:eastAsia="Arial" w:hAnsi="Arial" w:cs="Arial"/>
          <w:b/>
          <w:i/>
          <w:sz w:val="24"/>
          <w:szCs w:val="24"/>
        </w:rPr>
      </w:pPr>
      <w:r>
        <w:rPr>
          <w:rFonts w:ascii="Arial" w:eastAsia="Arial" w:hAnsi="Arial" w:cs="Arial"/>
          <w:b/>
          <w:i/>
          <w:sz w:val="24"/>
          <w:szCs w:val="24"/>
        </w:rPr>
        <w:t xml:space="preserve">We are open to bids with other proposed sample sizes that meet our requirements. </w:t>
      </w:r>
    </w:p>
    <w:p w:rsidR="00C730CC" w:rsidRPr="001E3B39" w:rsidRDefault="00C730CC" w:rsidP="00C730CC">
      <w:pPr>
        <w:tabs>
          <w:tab w:val="left" w:pos="142"/>
        </w:tabs>
        <w:spacing w:before="120" w:after="120" w:line="240" w:lineRule="auto"/>
        <w:rPr>
          <w:rFonts w:ascii="Arial" w:hAnsi="Arial" w:cs="Arial"/>
          <w:sz w:val="24"/>
          <w:szCs w:val="24"/>
        </w:rPr>
      </w:pPr>
      <w:r w:rsidRPr="001E3B39">
        <w:rPr>
          <w:rFonts w:ascii="Arial" w:eastAsia="Arial" w:hAnsi="Arial" w:cs="Arial"/>
          <w:sz w:val="24"/>
          <w:szCs w:val="24"/>
        </w:rPr>
        <w:t>The Service Credits shall be calculated on the basis of the following formula:</w:t>
      </w:r>
    </w:p>
    <w:tbl>
      <w:tblPr>
        <w:tblW w:w="5085" w:type="pct"/>
        <w:tblLook w:val="0000" w:firstRow="0" w:lastRow="0" w:firstColumn="0" w:lastColumn="0" w:noHBand="0" w:noVBand="0"/>
      </w:tblPr>
      <w:tblGrid>
        <w:gridCol w:w="2435"/>
        <w:gridCol w:w="413"/>
        <w:gridCol w:w="1770"/>
        <w:gridCol w:w="357"/>
        <w:gridCol w:w="4204"/>
      </w:tblGrid>
      <w:tr w:rsidR="00C730CC" w:rsidTr="00EA50D4">
        <w:trPr>
          <w:trHeight w:val="1403"/>
        </w:trPr>
        <w:tc>
          <w:tcPr>
            <w:tcW w:w="1332" w:type="pct"/>
          </w:tcPr>
          <w:p w:rsidR="00C730CC" w:rsidRDefault="00C730CC" w:rsidP="00EA50D4">
            <w:pPr>
              <w:spacing w:before="120" w:after="120" w:line="240" w:lineRule="auto"/>
              <w:rPr>
                <w:rFonts w:ascii="Arial" w:eastAsia="Arial" w:hAnsi="Arial" w:cs="Arial"/>
                <w:sz w:val="24"/>
                <w:szCs w:val="24"/>
              </w:rPr>
            </w:pPr>
            <w:r>
              <w:rPr>
                <w:rFonts w:ascii="Arial" w:eastAsia="Arial" w:hAnsi="Arial" w:cs="Arial"/>
                <w:b/>
                <w:sz w:val="24"/>
                <w:szCs w:val="24"/>
              </w:rPr>
              <w:t>W%</w:t>
            </w:r>
            <w:r>
              <w:rPr>
                <w:rFonts w:ascii="Arial" w:eastAsia="Arial" w:hAnsi="Arial" w:cs="Arial"/>
                <w:sz w:val="24"/>
                <w:szCs w:val="24"/>
              </w:rPr>
              <w:t xml:space="preserve"> (Service Level Performance Measure) -  </w:t>
            </w:r>
            <w:r>
              <w:rPr>
                <w:rFonts w:ascii="Arial" w:eastAsia="Arial" w:hAnsi="Arial" w:cs="Arial"/>
                <w:sz w:val="24"/>
                <w:szCs w:val="24"/>
              </w:rPr>
              <w:br/>
            </w:r>
            <w:r>
              <w:rPr>
                <w:rFonts w:ascii="Arial" w:eastAsia="Arial" w:hAnsi="Arial" w:cs="Arial"/>
                <w:b/>
                <w:sz w:val="24"/>
                <w:szCs w:val="24"/>
              </w:rPr>
              <w:t>X%</w:t>
            </w:r>
            <w:r>
              <w:rPr>
                <w:rFonts w:ascii="Arial" w:eastAsia="Arial" w:hAnsi="Arial" w:cs="Arial"/>
                <w:sz w:val="24"/>
                <w:szCs w:val="24"/>
              </w:rPr>
              <w:t xml:space="preserve"> (actual Service Level performance)</w:t>
            </w:r>
          </w:p>
        </w:tc>
        <w:tc>
          <w:tcPr>
            <w:tcW w:w="230" w:type="pct"/>
          </w:tcPr>
          <w:p w:rsidR="00C730CC" w:rsidRDefault="00C730CC" w:rsidP="00EA50D4">
            <w:pPr>
              <w:spacing w:before="120" w:after="120" w:line="240" w:lineRule="auto"/>
              <w:rPr>
                <w:rFonts w:ascii="Arial" w:eastAsia="Arial" w:hAnsi="Arial" w:cs="Arial"/>
                <w:sz w:val="24"/>
                <w:szCs w:val="24"/>
              </w:rPr>
            </w:pPr>
            <w:r>
              <w:rPr>
                <w:rFonts w:ascii="Arial" w:eastAsia="Arial" w:hAnsi="Arial" w:cs="Arial"/>
                <w:sz w:val="24"/>
                <w:szCs w:val="24"/>
              </w:rPr>
              <w:t>x</w:t>
            </w:r>
          </w:p>
        </w:tc>
        <w:tc>
          <w:tcPr>
            <w:tcW w:w="969" w:type="pct"/>
          </w:tcPr>
          <w:p w:rsidR="00C730CC" w:rsidRDefault="00C730CC" w:rsidP="00EA50D4">
            <w:pPr>
              <w:spacing w:before="120" w:after="120" w:line="240" w:lineRule="auto"/>
              <w:rPr>
                <w:rFonts w:ascii="Arial" w:eastAsia="Arial" w:hAnsi="Arial" w:cs="Arial"/>
                <w:sz w:val="24"/>
                <w:szCs w:val="24"/>
              </w:rPr>
            </w:pPr>
            <w:r>
              <w:rPr>
                <w:rFonts w:ascii="Arial" w:eastAsia="Arial" w:hAnsi="Arial" w:cs="Arial"/>
                <w:b/>
                <w:sz w:val="24"/>
                <w:szCs w:val="24"/>
              </w:rPr>
              <w:t xml:space="preserve">Y </w:t>
            </w:r>
            <w:r>
              <w:rPr>
                <w:rFonts w:ascii="Arial" w:eastAsia="Arial" w:hAnsi="Arial" w:cs="Arial"/>
                <w:sz w:val="24"/>
                <w:szCs w:val="24"/>
              </w:rPr>
              <w:t>(Service Credit Value)</w:t>
            </w:r>
          </w:p>
          <w:p w:rsidR="00C730CC" w:rsidRDefault="00C730CC" w:rsidP="00EA50D4">
            <w:pPr>
              <w:spacing w:before="120" w:after="120" w:line="240" w:lineRule="auto"/>
              <w:rPr>
                <w:rFonts w:ascii="Arial" w:eastAsia="Arial" w:hAnsi="Arial" w:cs="Arial"/>
                <w:sz w:val="24"/>
                <w:szCs w:val="24"/>
              </w:rPr>
            </w:pPr>
          </w:p>
        </w:tc>
        <w:tc>
          <w:tcPr>
            <w:tcW w:w="174" w:type="pct"/>
          </w:tcPr>
          <w:p w:rsidR="00C730CC" w:rsidRDefault="00C730CC" w:rsidP="00EA50D4">
            <w:pPr>
              <w:spacing w:before="120" w:after="120" w:line="240" w:lineRule="auto"/>
              <w:rPr>
                <w:rFonts w:ascii="Arial" w:eastAsia="Arial" w:hAnsi="Arial" w:cs="Arial"/>
                <w:sz w:val="24"/>
                <w:szCs w:val="24"/>
              </w:rPr>
            </w:pPr>
            <w:r>
              <w:rPr>
                <w:rFonts w:ascii="Arial" w:eastAsia="Arial" w:hAnsi="Arial" w:cs="Arial"/>
                <w:sz w:val="24"/>
                <w:szCs w:val="24"/>
              </w:rPr>
              <w:t>=</w:t>
            </w:r>
          </w:p>
        </w:tc>
        <w:tc>
          <w:tcPr>
            <w:tcW w:w="2295" w:type="pct"/>
          </w:tcPr>
          <w:p w:rsidR="00C730CC" w:rsidRDefault="00C730CC" w:rsidP="00EA50D4">
            <w:pPr>
              <w:spacing w:before="120" w:after="120" w:line="240" w:lineRule="auto"/>
              <w:rPr>
                <w:rFonts w:ascii="Arial" w:eastAsia="Arial" w:hAnsi="Arial" w:cs="Arial"/>
                <w:sz w:val="24"/>
                <w:szCs w:val="24"/>
              </w:rPr>
            </w:pPr>
            <w:r>
              <w:rPr>
                <w:rFonts w:ascii="Arial" w:eastAsia="Arial" w:hAnsi="Arial" w:cs="Arial"/>
                <w:b/>
                <w:sz w:val="24"/>
                <w:szCs w:val="24"/>
              </w:rPr>
              <w:t>Z%</w:t>
            </w:r>
            <w:r>
              <w:rPr>
                <w:rFonts w:ascii="Arial" w:eastAsia="Arial" w:hAnsi="Arial" w:cs="Arial"/>
                <w:sz w:val="24"/>
                <w:szCs w:val="24"/>
              </w:rPr>
              <w:t xml:space="preserve"> of the Charges payable to the Buyer as Service Credits to be deducted from the overall contract value</w:t>
            </w:r>
          </w:p>
        </w:tc>
      </w:tr>
    </w:tbl>
    <w:p w:rsidR="00C730CC" w:rsidRDefault="00C730CC" w:rsidP="00C730CC">
      <w:pPr>
        <w:spacing w:before="120" w:after="120" w:line="240" w:lineRule="auto"/>
      </w:pPr>
      <w:r>
        <w:rPr>
          <w:rFonts w:ascii="Arial" w:eastAsia="Arial" w:hAnsi="Arial" w:cs="Arial"/>
          <w:b/>
          <w:sz w:val="24"/>
          <w:szCs w:val="24"/>
        </w:rPr>
        <w:t>Worked examples:</w:t>
      </w:r>
      <w:r>
        <w:rPr>
          <w:rFonts w:ascii="Arial" w:eastAsia="Arial" w:hAnsi="Arial" w:cs="Arial"/>
          <w:sz w:val="24"/>
          <w:szCs w:val="24"/>
        </w:rPr>
        <w:t xml:space="preserve"> </w:t>
      </w:r>
    </w:p>
    <w:p w:rsidR="00C730CC" w:rsidRDefault="00C730CC" w:rsidP="00C730CC">
      <w:pPr>
        <w:spacing w:before="120" w:after="120" w:line="240" w:lineRule="auto"/>
        <w:rPr>
          <w:rFonts w:ascii="Arial" w:eastAsia="Arial" w:hAnsi="Arial" w:cs="Arial"/>
          <w:sz w:val="24"/>
          <w:szCs w:val="24"/>
        </w:rPr>
      </w:pPr>
      <w:r>
        <w:rPr>
          <w:rFonts w:ascii="Arial" w:eastAsia="Arial" w:hAnsi="Arial" w:cs="Arial"/>
          <w:b/>
          <w:sz w:val="24"/>
          <w:szCs w:val="24"/>
        </w:rPr>
        <w:t>Example A:</w:t>
      </w:r>
      <w:r>
        <w:rPr>
          <w:rFonts w:ascii="Arial" w:eastAsia="Arial" w:hAnsi="Arial" w:cs="Arial"/>
          <w:sz w:val="24"/>
          <w:szCs w:val="24"/>
        </w:rPr>
        <w:t xml:space="preserve"> If n=300 has been agreed for the </w:t>
      </w:r>
      <w:r>
        <w:rPr>
          <w:rFonts w:ascii="Arial" w:eastAsia="Arial" w:hAnsi="Arial" w:cs="Arial"/>
          <w:b/>
          <w:sz w:val="24"/>
          <w:szCs w:val="24"/>
        </w:rPr>
        <w:t>General sample</w:t>
      </w:r>
      <w:r>
        <w:rPr>
          <w:rFonts w:ascii="Arial" w:eastAsia="Arial" w:hAnsi="Arial" w:cs="Arial"/>
          <w:sz w:val="24"/>
          <w:szCs w:val="24"/>
        </w:rPr>
        <w:t xml:space="preserve">, and n=273 is delivered by the agreed end of the fieldwork period, then 91% of the agreed fieldwork target has been met. </w:t>
      </w:r>
    </w:p>
    <w:p w:rsidR="00C730CC" w:rsidRPr="001E3B39" w:rsidRDefault="00C730CC" w:rsidP="00C730CC">
      <w:pPr>
        <w:spacing w:before="120" w:after="120" w:line="240" w:lineRule="auto"/>
      </w:pPr>
      <w:r>
        <w:rPr>
          <w:rFonts w:ascii="Arial" w:eastAsia="Arial" w:hAnsi="Arial" w:cs="Arial"/>
          <w:sz w:val="24"/>
          <w:szCs w:val="24"/>
        </w:rPr>
        <w:t>In this case, the service credit applied would be 1% of the total contract value (see calculation below).</w:t>
      </w:r>
    </w:p>
    <w:tbl>
      <w:tblPr>
        <w:tblW w:w="5000" w:type="pct"/>
        <w:tblLook w:val="0000" w:firstRow="0" w:lastRow="0" w:firstColumn="0" w:lastColumn="0" w:noHBand="0" w:noVBand="0"/>
      </w:tblPr>
      <w:tblGrid>
        <w:gridCol w:w="2445"/>
        <w:gridCol w:w="368"/>
        <w:gridCol w:w="1957"/>
        <w:gridCol w:w="366"/>
        <w:gridCol w:w="3890"/>
      </w:tblGrid>
      <w:tr w:rsidR="00C730CC" w:rsidTr="00EA50D4">
        <w:tc>
          <w:tcPr>
            <w:tcW w:w="1354" w:type="pct"/>
          </w:tcPr>
          <w:p w:rsidR="00C730CC" w:rsidRDefault="00C730CC" w:rsidP="00EA50D4">
            <w:pPr>
              <w:spacing w:before="120" w:after="120" w:line="240" w:lineRule="auto"/>
              <w:rPr>
                <w:rFonts w:ascii="Arial" w:eastAsia="Arial" w:hAnsi="Arial" w:cs="Arial"/>
                <w:sz w:val="24"/>
                <w:szCs w:val="24"/>
              </w:rPr>
            </w:pPr>
            <w:r>
              <w:rPr>
                <w:rFonts w:ascii="Arial" w:eastAsia="Arial" w:hAnsi="Arial" w:cs="Arial"/>
                <w:b/>
                <w:sz w:val="24"/>
                <w:szCs w:val="24"/>
              </w:rPr>
              <w:t>95%</w:t>
            </w:r>
            <w:r>
              <w:rPr>
                <w:rFonts w:ascii="Arial" w:eastAsia="Arial" w:hAnsi="Arial" w:cs="Arial"/>
                <w:sz w:val="24"/>
                <w:szCs w:val="24"/>
              </w:rPr>
              <w:t xml:space="preserve"> (Service Level Performance Measure) -  </w:t>
            </w:r>
            <w:r>
              <w:rPr>
                <w:rFonts w:ascii="Arial" w:eastAsia="Arial" w:hAnsi="Arial" w:cs="Arial"/>
                <w:sz w:val="24"/>
                <w:szCs w:val="24"/>
              </w:rPr>
              <w:br/>
            </w:r>
            <w:r>
              <w:rPr>
                <w:rFonts w:ascii="Arial" w:eastAsia="Arial" w:hAnsi="Arial" w:cs="Arial"/>
                <w:b/>
                <w:sz w:val="24"/>
                <w:szCs w:val="24"/>
              </w:rPr>
              <w:lastRenderedPageBreak/>
              <w:t>91%</w:t>
            </w:r>
            <w:r>
              <w:rPr>
                <w:rFonts w:ascii="Arial" w:eastAsia="Arial" w:hAnsi="Arial" w:cs="Arial"/>
                <w:sz w:val="24"/>
                <w:szCs w:val="24"/>
              </w:rPr>
              <w:t xml:space="preserve"> (actual Service Level performance)</w:t>
            </w:r>
          </w:p>
        </w:tc>
        <w:tc>
          <w:tcPr>
            <w:tcW w:w="204" w:type="pct"/>
          </w:tcPr>
          <w:p w:rsidR="00C730CC" w:rsidRDefault="00C730CC" w:rsidP="00EA50D4">
            <w:pPr>
              <w:spacing w:before="120" w:after="120" w:line="240" w:lineRule="auto"/>
              <w:rPr>
                <w:rFonts w:ascii="Arial" w:eastAsia="Arial" w:hAnsi="Arial" w:cs="Arial"/>
                <w:sz w:val="24"/>
                <w:szCs w:val="24"/>
              </w:rPr>
            </w:pPr>
            <w:r>
              <w:rPr>
                <w:rFonts w:ascii="Arial" w:eastAsia="Arial" w:hAnsi="Arial" w:cs="Arial"/>
                <w:sz w:val="24"/>
                <w:szCs w:val="24"/>
              </w:rPr>
              <w:lastRenderedPageBreak/>
              <w:t>x</w:t>
            </w:r>
          </w:p>
        </w:tc>
        <w:tc>
          <w:tcPr>
            <w:tcW w:w="1084" w:type="pct"/>
          </w:tcPr>
          <w:p w:rsidR="00C730CC" w:rsidRDefault="00C730CC" w:rsidP="00EA50D4">
            <w:pPr>
              <w:spacing w:before="120" w:after="120" w:line="240" w:lineRule="auto"/>
              <w:rPr>
                <w:rFonts w:ascii="Arial" w:eastAsia="Arial" w:hAnsi="Arial" w:cs="Arial"/>
                <w:sz w:val="24"/>
                <w:szCs w:val="24"/>
              </w:rPr>
            </w:pPr>
            <w:r>
              <w:rPr>
                <w:rFonts w:ascii="Arial" w:eastAsia="Arial" w:hAnsi="Arial" w:cs="Arial"/>
                <w:b/>
                <w:sz w:val="24"/>
                <w:szCs w:val="24"/>
              </w:rPr>
              <w:t xml:space="preserve">0.25 </w:t>
            </w:r>
            <w:r>
              <w:rPr>
                <w:rFonts w:ascii="Arial" w:eastAsia="Arial" w:hAnsi="Arial" w:cs="Arial"/>
                <w:sz w:val="24"/>
                <w:szCs w:val="24"/>
              </w:rPr>
              <w:t>(Service Credit Value)</w:t>
            </w:r>
          </w:p>
        </w:tc>
        <w:tc>
          <w:tcPr>
            <w:tcW w:w="203" w:type="pct"/>
          </w:tcPr>
          <w:p w:rsidR="00C730CC" w:rsidRDefault="00C730CC" w:rsidP="00EA50D4">
            <w:pPr>
              <w:spacing w:before="120" w:after="120" w:line="240" w:lineRule="auto"/>
              <w:rPr>
                <w:rFonts w:ascii="Arial" w:eastAsia="Arial" w:hAnsi="Arial" w:cs="Arial"/>
                <w:sz w:val="24"/>
                <w:szCs w:val="24"/>
              </w:rPr>
            </w:pPr>
            <w:r>
              <w:rPr>
                <w:rFonts w:ascii="Arial" w:eastAsia="Arial" w:hAnsi="Arial" w:cs="Arial"/>
                <w:sz w:val="24"/>
                <w:szCs w:val="24"/>
              </w:rPr>
              <w:t>=</w:t>
            </w:r>
          </w:p>
        </w:tc>
        <w:tc>
          <w:tcPr>
            <w:tcW w:w="2156" w:type="pct"/>
          </w:tcPr>
          <w:p w:rsidR="00C730CC" w:rsidRDefault="00C730CC" w:rsidP="00EA50D4">
            <w:pPr>
              <w:spacing w:before="120" w:after="120" w:line="240" w:lineRule="auto"/>
              <w:rPr>
                <w:rFonts w:ascii="Arial" w:eastAsia="Arial" w:hAnsi="Arial" w:cs="Arial"/>
                <w:sz w:val="24"/>
                <w:szCs w:val="24"/>
              </w:rPr>
            </w:pPr>
            <w:r>
              <w:rPr>
                <w:rFonts w:ascii="Arial" w:eastAsia="Arial" w:hAnsi="Arial" w:cs="Arial"/>
                <w:b/>
                <w:sz w:val="24"/>
                <w:szCs w:val="24"/>
              </w:rPr>
              <w:t>1%</w:t>
            </w:r>
            <w:r>
              <w:rPr>
                <w:rFonts w:ascii="Arial" w:eastAsia="Arial" w:hAnsi="Arial" w:cs="Arial"/>
                <w:sz w:val="24"/>
                <w:szCs w:val="24"/>
              </w:rPr>
              <w:t xml:space="preserve"> of the Charges payable to the Buyer as Service Credits to be </w:t>
            </w:r>
            <w:r>
              <w:rPr>
                <w:rFonts w:ascii="Arial" w:eastAsia="Arial" w:hAnsi="Arial" w:cs="Arial"/>
                <w:sz w:val="24"/>
                <w:szCs w:val="24"/>
              </w:rPr>
              <w:lastRenderedPageBreak/>
              <w:t>deducted from the total contract value</w:t>
            </w:r>
          </w:p>
        </w:tc>
      </w:tr>
    </w:tbl>
    <w:p w:rsidR="00C730CC" w:rsidRPr="002F16AB" w:rsidRDefault="00C730CC" w:rsidP="00C730CC">
      <w:pPr>
        <w:widowControl w:val="0"/>
        <w:tabs>
          <w:tab w:val="left" w:pos="979"/>
          <w:tab w:val="left" w:pos="980"/>
        </w:tabs>
        <w:spacing w:before="120" w:after="120" w:line="240" w:lineRule="auto"/>
        <w:ind w:right="124"/>
      </w:pPr>
      <w:r>
        <w:rPr>
          <w:rFonts w:ascii="Arial" w:eastAsia="Arial" w:hAnsi="Arial" w:cs="Arial"/>
          <w:b/>
          <w:sz w:val="24"/>
          <w:szCs w:val="24"/>
        </w:rPr>
        <w:lastRenderedPageBreak/>
        <w:t>Example B:</w:t>
      </w:r>
      <w:r>
        <w:rPr>
          <w:rFonts w:ascii="Arial" w:eastAsia="Arial" w:hAnsi="Arial" w:cs="Arial"/>
          <w:sz w:val="24"/>
          <w:szCs w:val="24"/>
        </w:rPr>
        <w:t xml:space="preserve"> If n=250 has been agreed for the </w:t>
      </w:r>
      <w:r>
        <w:rPr>
          <w:rFonts w:ascii="Arial" w:eastAsia="Arial" w:hAnsi="Arial" w:cs="Arial"/>
          <w:b/>
          <w:sz w:val="24"/>
          <w:szCs w:val="24"/>
        </w:rPr>
        <w:t>Targeted sample</w:t>
      </w:r>
      <w:r>
        <w:rPr>
          <w:rFonts w:ascii="Arial" w:eastAsia="Arial" w:hAnsi="Arial" w:cs="Arial"/>
          <w:sz w:val="24"/>
          <w:szCs w:val="24"/>
        </w:rPr>
        <w:t>, and n=180 is delivered by the end of the fieldwork period, then 72% of the agreed fieldwork has been delivered. In this case, the service credit applied would be 5.75% of the total contract value (see calculation below).</w:t>
      </w:r>
    </w:p>
    <w:tbl>
      <w:tblPr>
        <w:tblW w:w="5000" w:type="pct"/>
        <w:tblLook w:val="0000" w:firstRow="0" w:lastRow="0" w:firstColumn="0" w:lastColumn="0" w:noHBand="0" w:noVBand="0"/>
      </w:tblPr>
      <w:tblGrid>
        <w:gridCol w:w="3302"/>
        <w:gridCol w:w="366"/>
        <w:gridCol w:w="1439"/>
        <w:gridCol w:w="632"/>
        <w:gridCol w:w="3287"/>
      </w:tblGrid>
      <w:tr w:rsidR="00C730CC" w:rsidTr="00EA50D4">
        <w:tc>
          <w:tcPr>
            <w:tcW w:w="1829" w:type="pct"/>
          </w:tcPr>
          <w:p w:rsidR="00C730CC" w:rsidRDefault="00C730CC" w:rsidP="00EA50D4">
            <w:pPr>
              <w:spacing w:before="120" w:after="120" w:line="240" w:lineRule="auto"/>
              <w:rPr>
                <w:rFonts w:ascii="Arial" w:eastAsia="Arial" w:hAnsi="Arial" w:cs="Arial"/>
                <w:sz w:val="24"/>
                <w:szCs w:val="24"/>
              </w:rPr>
            </w:pPr>
            <w:r>
              <w:rPr>
                <w:rFonts w:ascii="Arial" w:eastAsia="Arial" w:hAnsi="Arial" w:cs="Arial"/>
                <w:b/>
                <w:sz w:val="24"/>
                <w:szCs w:val="24"/>
              </w:rPr>
              <w:t>95%</w:t>
            </w:r>
            <w:r>
              <w:rPr>
                <w:rFonts w:ascii="Arial" w:eastAsia="Arial" w:hAnsi="Arial" w:cs="Arial"/>
                <w:sz w:val="24"/>
                <w:szCs w:val="24"/>
              </w:rPr>
              <w:t xml:space="preserve"> (Service Level </w:t>
            </w:r>
            <w:r w:rsidR="00515224">
              <w:rPr>
                <w:rFonts w:ascii="Arial" w:eastAsia="Arial" w:hAnsi="Arial" w:cs="Arial"/>
                <w:sz w:val="24"/>
                <w:szCs w:val="24"/>
              </w:rPr>
              <w:t>Performance Measure</w:t>
            </w:r>
            <w:r>
              <w:rPr>
                <w:rFonts w:ascii="Arial" w:eastAsia="Arial" w:hAnsi="Arial" w:cs="Arial"/>
                <w:sz w:val="24"/>
                <w:szCs w:val="24"/>
              </w:rPr>
              <w:t xml:space="preserve">) -  </w:t>
            </w:r>
            <w:r>
              <w:rPr>
                <w:rFonts w:ascii="Arial" w:eastAsia="Arial" w:hAnsi="Arial" w:cs="Arial"/>
                <w:sz w:val="24"/>
                <w:szCs w:val="24"/>
              </w:rPr>
              <w:br/>
            </w:r>
            <w:r>
              <w:rPr>
                <w:rFonts w:ascii="Arial" w:eastAsia="Arial" w:hAnsi="Arial" w:cs="Arial"/>
                <w:b/>
                <w:sz w:val="24"/>
                <w:szCs w:val="24"/>
              </w:rPr>
              <w:t>72%</w:t>
            </w:r>
            <w:r>
              <w:rPr>
                <w:rFonts w:ascii="Arial" w:eastAsia="Arial" w:hAnsi="Arial" w:cs="Arial"/>
                <w:sz w:val="24"/>
                <w:szCs w:val="24"/>
              </w:rPr>
              <w:t xml:space="preserve"> (actual Service Level performance)</w:t>
            </w:r>
          </w:p>
        </w:tc>
        <w:tc>
          <w:tcPr>
            <w:tcW w:w="203" w:type="pct"/>
          </w:tcPr>
          <w:p w:rsidR="00C730CC" w:rsidRDefault="00C730CC" w:rsidP="00EA50D4">
            <w:pPr>
              <w:spacing w:before="120" w:after="120" w:line="240" w:lineRule="auto"/>
              <w:rPr>
                <w:rFonts w:ascii="Arial" w:eastAsia="Arial" w:hAnsi="Arial" w:cs="Arial"/>
                <w:sz w:val="24"/>
                <w:szCs w:val="24"/>
              </w:rPr>
            </w:pPr>
            <w:r>
              <w:rPr>
                <w:rFonts w:ascii="Arial" w:eastAsia="Arial" w:hAnsi="Arial" w:cs="Arial"/>
                <w:sz w:val="24"/>
                <w:szCs w:val="24"/>
              </w:rPr>
              <w:t>x</w:t>
            </w:r>
          </w:p>
        </w:tc>
        <w:tc>
          <w:tcPr>
            <w:tcW w:w="797" w:type="pct"/>
          </w:tcPr>
          <w:p w:rsidR="00C730CC" w:rsidRDefault="00C730CC" w:rsidP="00EA50D4">
            <w:pPr>
              <w:spacing w:before="120" w:after="120" w:line="240" w:lineRule="auto"/>
              <w:rPr>
                <w:rFonts w:ascii="Arial" w:eastAsia="Arial" w:hAnsi="Arial" w:cs="Arial"/>
                <w:sz w:val="24"/>
                <w:szCs w:val="24"/>
              </w:rPr>
            </w:pPr>
            <w:r>
              <w:rPr>
                <w:rFonts w:ascii="Arial" w:eastAsia="Arial" w:hAnsi="Arial" w:cs="Arial"/>
                <w:b/>
                <w:sz w:val="24"/>
                <w:szCs w:val="24"/>
              </w:rPr>
              <w:t xml:space="preserve">0.25 </w:t>
            </w:r>
            <w:r>
              <w:rPr>
                <w:rFonts w:ascii="Arial" w:eastAsia="Arial" w:hAnsi="Arial" w:cs="Arial"/>
                <w:sz w:val="24"/>
                <w:szCs w:val="24"/>
              </w:rPr>
              <w:t>(Service Credit Value)</w:t>
            </w:r>
          </w:p>
          <w:p w:rsidR="00C730CC" w:rsidRDefault="00C730CC" w:rsidP="00EA50D4">
            <w:pPr>
              <w:spacing w:before="120" w:after="120" w:line="240" w:lineRule="auto"/>
              <w:rPr>
                <w:rFonts w:ascii="Arial" w:eastAsia="Arial" w:hAnsi="Arial" w:cs="Arial"/>
                <w:sz w:val="24"/>
                <w:szCs w:val="24"/>
              </w:rPr>
            </w:pPr>
          </w:p>
        </w:tc>
        <w:tc>
          <w:tcPr>
            <w:tcW w:w="350" w:type="pct"/>
          </w:tcPr>
          <w:p w:rsidR="00C730CC" w:rsidRDefault="00C730CC" w:rsidP="00EA50D4">
            <w:pPr>
              <w:spacing w:before="120" w:after="120" w:line="240" w:lineRule="auto"/>
              <w:rPr>
                <w:rFonts w:ascii="Arial" w:eastAsia="Arial" w:hAnsi="Arial" w:cs="Arial"/>
                <w:sz w:val="24"/>
                <w:szCs w:val="24"/>
              </w:rPr>
            </w:pPr>
          </w:p>
          <w:p w:rsidR="00C730CC" w:rsidRDefault="00C730CC" w:rsidP="00EA50D4">
            <w:pPr>
              <w:spacing w:before="120" w:after="120" w:line="240" w:lineRule="auto"/>
              <w:ind w:left="145"/>
              <w:rPr>
                <w:rFonts w:ascii="Arial" w:eastAsia="Arial" w:hAnsi="Arial" w:cs="Arial"/>
                <w:sz w:val="24"/>
                <w:szCs w:val="24"/>
              </w:rPr>
            </w:pPr>
            <w:r>
              <w:rPr>
                <w:rFonts w:ascii="Arial" w:eastAsia="Arial" w:hAnsi="Arial" w:cs="Arial"/>
                <w:sz w:val="24"/>
                <w:szCs w:val="24"/>
              </w:rPr>
              <w:t>=</w:t>
            </w:r>
          </w:p>
        </w:tc>
        <w:tc>
          <w:tcPr>
            <w:tcW w:w="1821" w:type="pct"/>
          </w:tcPr>
          <w:p w:rsidR="00C730CC" w:rsidRDefault="00C730CC" w:rsidP="00EA50D4">
            <w:pPr>
              <w:spacing w:before="120" w:after="120" w:line="240" w:lineRule="auto"/>
              <w:rPr>
                <w:rFonts w:ascii="Arial" w:eastAsia="Arial" w:hAnsi="Arial" w:cs="Arial"/>
                <w:sz w:val="24"/>
                <w:szCs w:val="24"/>
              </w:rPr>
            </w:pPr>
            <w:r>
              <w:rPr>
                <w:rFonts w:ascii="Arial" w:eastAsia="Arial" w:hAnsi="Arial" w:cs="Arial"/>
                <w:b/>
                <w:sz w:val="24"/>
                <w:szCs w:val="24"/>
              </w:rPr>
              <w:t>5.75%</w:t>
            </w:r>
            <w:r>
              <w:rPr>
                <w:rFonts w:ascii="Arial" w:eastAsia="Arial" w:hAnsi="Arial" w:cs="Arial"/>
                <w:sz w:val="24"/>
                <w:szCs w:val="24"/>
              </w:rPr>
              <w:t xml:space="preserve"> of the Charges payable to the Buyer as Service Credits to be deducted from the total contract value</w:t>
            </w:r>
          </w:p>
        </w:tc>
      </w:tr>
    </w:tbl>
    <w:p w:rsidR="00C730CC" w:rsidRDefault="00C730CC" w:rsidP="00C730CC">
      <w:pPr>
        <w:widowControl w:val="0"/>
        <w:tabs>
          <w:tab w:val="left" w:pos="979"/>
          <w:tab w:val="left" w:pos="980"/>
        </w:tabs>
        <w:spacing w:before="120" w:after="120" w:line="240" w:lineRule="auto"/>
        <w:ind w:right="124"/>
        <w:rPr>
          <w:rFonts w:ascii="Arial" w:eastAsia="Arial" w:hAnsi="Arial" w:cs="Arial"/>
          <w:sz w:val="24"/>
          <w:szCs w:val="24"/>
        </w:rPr>
      </w:pPr>
    </w:p>
    <w:p w:rsidR="00C730CC" w:rsidRDefault="00C730CC" w:rsidP="00C730CC">
      <w:pPr>
        <w:widowControl w:val="0"/>
        <w:tabs>
          <w:tab w:val="left" w:pos="979"/>
          <w:tab w:val="left" w:pos="980"/>
        </w:tabs>
        <w:spacing w:before="120" w:after="120" w:line="240" w:lineRule="auto"/>
        <w:ind w:right="124"/>
      </w:pPr>
      <w:r>
        <w:rPr>
          <w:rFonts w:ascii="Arial" w:eastAsia="Arial" w:hAnsi="Arial" w:cs="Arial"/>
          <w:b/>
          <w:sz w:val="24"/>
          <w:szCs w:val="24"/>
        </w:rPr>
        <w:t>Example C:</w:t>
      </w:r>
      <w:r>
        <w:rPr>
          <w:rFonts w:ascii="Arial" w:eastAsia="Arial" w:hAnsi="Arial" w:cs="Arial"/>
          <w:sz w:val="24"/>
          <w:szCs w:val="24"/>
        </w:rPr>
        <w:t xml:space="preserve"> If a Supplier faces both sets of service credits outlined in Examples A and B, service credits will be applied additively. The total service credit applied would therefore be 1% + 5.75% = 6.75% of the total contract value.</w:t>
      </w:r>
    </w:p>
    <w:p w:rsidR="00C730CC" w:rsidRDefault="00C730CC" w:rsidP="00C730CC">
      <w:pPr>
        <w:widowControl w:val="0"/>
        <w:tabs>
          <w:tab w:val="left" w:pos="979"/>
          <w:tab w:val="left" w:pos="980"/>
        </w:tabs>
        <w:spacing w:before="120" w:after="120" w:line="240" w:lineRule="auto"/>
        <w:ind w:right="124"/>
        <w:rPr>
          <w:rFonts w:ascii="Arial" w:eastAsia="Arial" w:hAnsi="Arial" w:cs="Arial"/>
          <w:sz w:val="24"/>
          <w:szCs w:val="24"/>
        </w:rPr>
      </w:pPr>
    </w:p>
    <w:p w:rsidR="00C730CC" w:rsidRDefault="00C730CC" w:rsidP="00C730CC">
      <w:pPr>
        <w:widowControl w:val="0"/>
        <w:tabs>
          <w:tab w:val="left" w:pos="979"/>
          <w:tab w:val="left" w:pos="980"/>
        </w:tabs>
        <w:spacing w:before="120" w:after="120" w:line="240" w:lineRule="auto"/>
        <w:ind w:right="124"/>
      </w:pPr>
      <w:r>
        <w:rPr>
          <w:rFonts w:ascii="Arial" w:eastAsia="Arial" w:hAnsi="Arial" w:cs="Arial"/>
          <w:sz w:val="24"/>
          <w:szCs w:val="24"/>
        </w:rPr>
        <w:t>Please note that exceptions can be made for setbacks which the Supplier could not reasonably have foreseen, mitigated against or resolved effectively.</w:t>
      </w:r>
    </w:p>
    <w:p w:rsidR="00D73821" w:rsidRDefault="00C730CC" w:rsidP="00C730CC">
      <w:pPr>
        <w:widowControl w:val="0"/>
        <w:tabs>
          <w:tab w:val="left" w:pos="979"/>
          <w:tab w:val="left" w:pos="980"/>
        </w:tabs>
        <w:spacing w:before="120" w:after="120" w:line="240" w:lineRule="auto"/>
        <w:ind w:right="124"/>
      </w:pPr>
      <w:r>
        <w:rPr>
          <w:rFonts w:ascii="Arial" w:eastAsia="Arial" w:hAnsi="Arial" w:cs="Arial"/>
          <w:sz w:val="24"/>
          <w:szCs w:val="24"/>
        </w:rPr>
        <w:t>The Supplier shall monitor its performance against each of the above Performance Indicators and update the Buyer every fortnight as part of rolling updates.</w:t>
      </w:r>
    </w:p>
    <w:p w:rsidR="00D73821" w:rsidRDefault="00D73821" w:rsidP="009C2E4D">
      <w:pPr>
        <w:widowControl w:val="0"/>
        <w:tabs>
          <w:tab w:val="left" w:pos="979"/>
          <w:tab w:val="left" w:pos="980"/>
        </w:tabs>
        <w:spacing w:before="120" w:after="120" w:line="240" w:lineRule="auto"/>
        <w:ind w:left="965" w:right="124"/>
        <w:rPr>
          <w:rFonts w:ascii="Arial" w:eastAsia="Arial" w:hAnsi="Arial" w:cs="Arial"/>
          <w:sz w:val="24"/>
          <w:szCs w:val="24"/>
        </w:rPr>
      </w:pPr>
    </w:p>
    <w:p w:rsidR="00D73821" w:rsidRDefault="00507434" w:rsidP="009C2E4D">
      <w:pPr>
        <w:keepNext/>
        <w:pBdr>
          <w:top w:val="nil"/>
          <w:left w:val="nil"/>
          <w:bottom w:val="nil"/>
          <w:right w:val="nil"/>
          <w:between w:val="nil"/>
        </w:pBdr>
        <w:spacing w:before="120" w:after="12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 xml:space="preserve">Part B: Performance Monitoring </w:t>
      </w:r>
    </w:p>
    <w:p w:rsidR="00D73821" w:rsidRDefault="00507434" w:rsidP="009C2E4D">
      <w:pPr>
        <w:numPr>
          <w:ilvl w:val="0"/>
          <w:numId w:val="5"/>
        </w:numPr>
        <w:pBdr>
          <w:top w:val="nil"/>
          <w:left w:val="nil"/>
          <w:bottom w:val="nil"/>
          <w:right w:val="nil"/>
          <w:between w:val="nil"/>
        </w:pBdr>
        <w:tabs>
          <w:tab w:val="left" w:pos="142"/>
        </w:tabs>
        <w:spacing w:before="12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Performance Monitoring and Performance Review</w:t>
      </w:r>
    </w:p>
    <w:p w:rsidR="00D73821" w:rsidRDefault="00507434" w:rsidP="009C2E4D">
      <w:pPr>
        <w:numPr>
          <w:ilvl w:val="1"/>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D73821" w:rsidRDefault="00507434" w:rsidP="009C2E4D">
      <w:pPr>
        <w:keepNext/>
        <w:numPr>
          <w:ilvl w:val="1"/>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the Buyer with performance monitoring reports ("</w:t>
      </w:r>
      <w:r>
        <w:rPr>
          <w:rFonts w:ascii="Arial" w:eastAsia="Arial" w:hAnsi="Arial" w:cs="Arial"/>
          <w:b/>
          <w:color w:val="000000"/>
          <w:sz w:val="24"/>
          <w:szCs w:val="24"/>
        </w:rPr>
        <w:t>Performance Monitoring Reports</w:t>
      </w:r>
      <w:r>
        <w:rPr>
          <w:rFonts w:ascii="Arial" w:eastAsia="Arial" w:hAnsi="Arial" w:cs="Arial"/>
          <w:color w:val="000000"/>
          <w:sz w:val="24"/>
          <w:szCs w:val="24"/>
        </w:rPr>
        <w:t>") in accordance with the process and timescales agreed pursuant to paragraph 1.1 of Part B of this Schedule which shall contain, as a minimum, the following information in respect of the relevant Service Period just ended:</w:t>
      </w:r>
    </w:p>
    <w:p w:rsidR="00D73821" w:rsidRDefault="00507434" w:rsidP="009C2E4D">
      <w:pPr>
        <w:numPr>
          <w:ilvl w:val="2"/>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each Service Level, the actual performance achieved over the Service Level for the relevant Service Period;</w:t>
      </w:r>
    </w:p>
    <w:p w:rsidR="00D73821" w:rsidRDefault="00507434" w:rsidP="009C2E4D">
      <w:pPr>
        <w:numPr>
          <w:ilvl w:val="2"/>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summary of all failures to achieve Service Levels that occurred during that Service Period;</w:t>
      </w:r>
    </w:p>
    <w:p w:rsidR="00D73821" w:rsidRDefault="00507434" w:rsidP="009C2E4D">
      <w:pPr>
        <w:numPr>
          <w:ilvl w:val="2"/>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Critical Service Level Failures;</w:t>
      </w:r>
    </w:p>
    <w:p w:rsidR="00D73821" w:rsidRDefault="00507434" w:rsidP="009C2E4D">
      <w:pPr>
        <w:numPr>
          <w:ilvl w:val="2"/>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any repeat failures, actions taken to resolve the underlying cause and prevent recurrence;</w:t>
      </w:r>
    </w:p>
    <w:p w:rsidR="00D73821" w:rsidRDefault="00507434" w:rsidP="009C2E4D">
      <w:pPr>
        <w:numPr>
          <w:ilvl w:val="2"/>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Service Credits to be applied in respect of the relevant period indicating the failures and Service Levels to which the Service Credits relate; and</w:t>
      </w:r>
    </w:p>
    <w:p w:rsidR="00D73821" w:rsidRDefault="00507434" w:rsidP="009C2E4D">
      <w:pPr>
        <w:numPr>
          <w:ilvl w:val="2"/>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other details as the Buyer may reasonably require from time to time.</w:t>
      </w:r>
    </w:p>
    <w:p w:rsidR="00D73821" w:rsidRDefault="00507434" w:rsidP="009C2E4D">
      <w:pPr>
        <w:keepNext/>
        <w:numPr>
          <w:ilvl w:val="1"/>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on a Monthly basis. The Performance Review Meetings will be the forum for the review by the Supplier and the Buyer of the Performance Monitoring Reports.  The Performance Review Meetings shall:</w:t>
      </w:r>
    </w:p>
    <w:p w:rsidR="00D73821" w:rsidRDefault="00507434" w:rsidP="009C2E4D">
      <w:pPr>
        <w:numPr>
          <w:ilvl w:val="2"/>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take place within one (1) week of the Performance Monitoring Reports being issued by the Supplier at such location and time (within normal business hours) as the Buyer shall reasonably require;</w:t>
      </w:r>
    </w:p>
    <w:p w:rsidR="00D73821" w:rsidRDefault="00507434" w:rsidP="009C2E4D">
      <w:pPr>
        <w:numPr>
          <w:ilvl w:val="2"/>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be attended by the Supplier's Representative and the Buyer’s Representative; and</w:t>
      </w:r>
    </w:p>
    <w:p w:rsidR="00D73821" w:rsidRDefault="00507434" w:rsidP="009C2E4D">
      <w:pPr>
        <w:numPr>
          <w:ilvl w:val="2"/>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be fully </w:t>
      </w:r>
      <w:proofErr w:type="spellStart"/>
      <w:r>
        <w:rPr>
          <w:rFonts w:ascii="Arial" w:eastAsia="Arial" w:hAnsi="Arial" w:cs="Arial"/>
          <w:color w:val="000000"/>
          <w:sz w:val="24"/>
          <w:szCs w:val="24"/>
        </w:rPr>
        <w:t>minuted</w:t>
      </w:r>
      <w:proofErr w:type="spellEnd"/>
      <w:r>
        <w:rPr>
          <w:rFonts w:ascii="Arial" w:eastAsia="Arial" w:hAnsi="Arial" w:cs="Arial"/>
          <w:color w:val="000000"/>
          <w:sz w:val="24"/>
          <w:szCs w:val="24"/>
        </w:rPr>
        <w:t xml:space="preserve"> by the Supplier and the minutes will be circulated by the Supplier to all attendees at the relevant meeting and also to the Buyer’s Representative and any other recipients agreed at the relevant meeting.  </w:t>
      </w:r>
    </w:p>
    <w:p w:rsidR="00D73821" w:rsidRDefault="00507434" w:rsidP="009C2E4D">
      <w:pPr>
        <w:numPr>
          <w:ilvl w:val="1"/>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minutes of the preceding Month's Performance Review Meeting will be agreed and signed by both the Supplier's Representative and the Buyer’s Representative at each meeting.</w:t>
      </w:r>
    </w:p>
    <w:p w:rsidR="00D73821" w:rsidRDefault="00507434" w:rsidP="009C2E4D">
      <w:pPr>
        <w:numPr>
          <w:ilvl w:val="1"/>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rsidR="00D73821" w:rsidRDefault="00D73821" w:rsidP="009C2E4D">
      <w:pPr>
        <w:pBdr>
          <w:top w:val="nil"/>
          <w:left w:val="nil"/>
          <w:bottom w:val="nil"/>
          <w:right w:val="nil"/>
          <w:between w:val="nil"/>
        </w:pBdr>
        <w:spacing w:before="120" w:after="120" w:line="240" w:lineRule="auto"/>
        <w:ind w:left="1440" w:hanging="576"/>
        <w:rPr>
          <w:rFonts w:ascii="Arial" w:eastAsia="Arial" w:hAnsi="Arial" w:cs="Arial"/>
          <w:color w:val="000000"/>
          <w:sz w:val="24"/>
          <w:szCs w:val="24"/>
        </w:rPr>
      </w:pPr>
    </w:p>
    <w:p w:rsidR="00D73821" w:rsidRDefault="00507434" w:rsidP="009C2E4D">
      <w:pPr>
        <w:numPr>
          <w:ilvl w:val="0"/>
          <w:numId w:val="5"/>
        </w:numPr>
        <w:pBdr>
          <w:top w:val="nil"/>
          <w:left w:val="nil"/>
          <w:bottom w:val="nil"/>
          <w:right w:val="nil"/>
          <w:between w:val="nil"/>
        </w:pBdr>
        <w:tabs>
          <w:tab w:val="left" w:pos="142"/>
        </w:tabs>
        <w:spacing w:before="12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Satisfaction Surveys</w:t>
      </w:r>
    </w:p>
    <w:p w:rsidR="00D73821" w:rsidRDefault="00507434" w:rsidP="009C2E4D">
      <w:pPr>
        <w:numPr>
          <w:ilvl w:val="1"/>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D73821" w:rsidRDefault="00D73821" w:rsidP="009C2E4D">
      <w:pPr>
        <w:pBdr>
          <w:top w:val="nil"/>
          <w:left w:val="nil"/>
          <w:bottom w:val="nil"/>
          <w:right w:val="nil"/>
          <w:between w:val="nil"/>
        </w:pBdr>
        <w:spacing w:before="120" w:after="120" w:line="240" w:lineRule="auto"/>
        <w:ind w:left="936" w:hanging="576"/>
        <w:jc w:val="both"/>
        <w:rPr>
          <w:rFonts w:ascii="Arial" w:eastAsia="Arial" w:hAnsi="Arial" w:cs="Arial"/>
          <w:color w:val="000000"/>
          <w:sz w:val="24"/>
          <w:szCs w:val="24"/>
        </w:rPr>
      </w:pPr>
      <w:bookmarkStart w:id="4" w:name="_heading=h.30j0zll" w:colFirst="0" w:colLast="0"/>
      <w:bookmarkEnd w:id="4"/>
    </w:p>
    <w:sectPr w:rsidR="00D73821" w:rsidSect="009C2E4D">
      <w:headerReference w:type="default" r:id="rId8"/>
      <w:footerReference w:type="default" r:id="rId9"/>
      <w:footerReference w:type="first" r:id="rId10"/>
      <w:pgSz w:w="11906" w:h="16838"/>
      <w:pgMar w:top="1440" w:right="1440" w:bottom="1440" w:left="1440" w:header="567"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7434" w:rsidRDefault="00507434">
      <w:pPr>
        <w:spacing w:after="0" w:line="240" w:lineRule="auto"/>
      </w:pPr>
      <w:r>
        <w:separator/>
      </w:r>
    </w:p>
  </w:endnote>
  <w:endnote w:type="continuationSeparator" w:id="0">
    <w:p w:rsidR="00507434" w:rsidRDefault="00507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3821" w:rsidRDefault="00D73821">
    <w:pPr>
      <w:tabs>
        <w:tab w:val="center" w:pos="4513"/>
        <w:tab w:val="right" w:pos="9026"/>
      </w:tabs>
      <w:spacing w:after="0" w:line="240" w:lineRule="auto"/>
      <w:jc w:val="both"/>
    </w:pPr>
  </w:p>
  <w:p w:rsidR="00D73821" w:rsidRDefault="00507434">
    <w:pPr>
      <w:tabs>
        <w:tab w:val="center" w:pos="4513"/>
        <w:tab w:val="right" w:pos="9026"/>
      </w:tabs>
      <w:spacing w:after="0"/>
      <w:rPr>
        <w:rFonts w:ascii="Arial" w:eastAsia="Arial" w:hAnsi="Arial" w:cs="Arial"/>
        <w:sz w:val="20"/>
        <w:szCs w:val="20"/>
      </w:rPr>
    </w:pPr>
    <w:r>
      <w:rPr>
        <w:rFonts w:ascii="Arial" w:eastAsia="Arial" w:hAnsi="Arial" w:cs="Arial"/>
        <w:sz w:val="20"/>
        <w:szCs w:val="20"/>
      </w:rPr>
      <w:t>RM6126 - Research &amp; Insights DPS</w:t>
    </w:r>
  </w:p>
  <w:p w:rsidR="00D73821" w:rsidRDefault="0050743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D03C6">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D73821" w:rsidRDefault="0050743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v1.1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3821" w:rsidRDefault="00D73821">
    <w:pPr>
      <w:tabs>
        <w:tab w:val="center" w:pos="4513"/>
        <w:tab w:val="right" w:pos="9026"/>
      </w:tabs>
      <w:spacing w:after="0" w:line="240" w:lineRule="auto"/>
      <w:jc w:val="both"/>
    </w:pPr>
  </w:p>
  <w:p w:rsidR="00D73821" w:rsidRDefault="0050743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DPS Ref: RM</w:t>
    </w:r>
    <w:r>
      <w:rPr>
        <w:rFonts w:ascii="Arial" w:eastAsia="Arial" w:hAnsi="Arial" w:cs="Arial"/>
        <w:color w:val="000000"/>
        <w:sz w:val="20"/>
        <w:szCs w:val="20"/>
      </w:rPr>
      <w:tab/>
      <w:t xml:space="preserve">                                           </w:t>
    </w:r>
  </w:p>
  <w:p w:rsidR="00D73821" w:rsidRDefault="0050743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D73821" w:rsidRDefault="00507434">
    <w:pPr>
      <w:pBdr>
        <w:top w:val="nil"/>
        <w:left w:val="nil"/>
        <w:bottom w:val="nil"/>
        <w:right w:val="nil"/>
        <w:between w:val="nil"/>
      </w:pBdr>
      <w:tabs>
        <w:tab w:val="center" w:pos="4513"/>
        <w:tab w:val="right" w:pos="9026"/>
      </w:tabs>
      <w:spacing w:after="0" w:line="240" w:lineRule="auto"/>
      <w:rPr>
        <w:rFonts w:cs="Calibri"/>
        <w:color w:val="000000"/>
      </w:rPr>
    </w:pPr>
    <w:r>
      <w:rPr>
        <w:rFonts w:ascii="Arial" w:eastAsia="Arial" w:hAnsi="Arial" w:cs="Arial"/>
        <w:color w:val="000000"/>
        <w:sz w:val="20"/>
        <w:szCs w:val="20"/>
      </w:rPr>
      <w:t xml:space="preserve">Model </w:t>
    </w:r>
    <w:proofErr w:type="gramStart"/>
    <w:r>
      <w:rPr>
        <w:rFonts w:ascii="Arial" w:eastAsia="Arial" w:hAnsi="Arial" w:cs="Arial"/>
        <w:color w:val="000000"/>
        <w:sz w:val="20"/>
        <w:szCs w:val="20"/>
      </w:rPr>
      <w:t>Version :</w:t>
    </w:r>
    <w:proofErr w:type="gramEnd"/>
    <w:r>
      <w:rPr>
        <w:rFonts w:ascii="Arial" w:eastAsia="Arial" w:hAnsi="Arial" w:cs="Arial"/>
        <w:color w:val="000000"/>
        <w:sz w:val="20"/>
        <w:szCs w:val="20"/>
      </w:rPr>
      <w:t xml:space="preserve"> v2.9</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7434" w:rsidRDefault="00507434">
      <w:pPr>
        <w:spacing w:after="0" w:line="240" w:lineRule="auto"/>
      </w:pPr>
      <w:r>
        <w:separator/>
      </w:r>
    </w:p>
  </w:footnote>
  <w:footnote w:type="continuationSeparator" w:id="0">
    <w:p w:rsidR="00507434" w:rsidRDefault="00507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3821" w:rsidRDefault="0050743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Order Schedule 14 (Service Levels)</w:t>
    </w:r>
  </w:p>
  <w:p w:rsidR="00D73821" w:rsidRDefault="0050743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Order Ref: CCZZ23A28</w:t>
    </w:r>
  </w:p>
  <w:p w:rsidR="00D73821" w:rsidRDefault="0050743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2021</w:t>
    </w:r>
  </w:p>
  <w:p w:rsidR="00D73821" w:rsidRDefault="00D73821">
    <w:pPr>
      <w:pBdr>
        <w:top w:val="nil"/>
        <w:left w:val="nil"/>
        <w:bottom w:val="nil"/>
        <w:right w:val="nil"/>
        <w:between w:val="nil"/>
      </w:pBdr>
      <w:tabs>
        <w:tab w:val="center" w:pos="4513"/>
        <w:tab w:val="right" w:pos="9026"/>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C56C6"/>
    <w:multiLevelType w:val="multilevel"/>
    <w:tmpl w:val="59629598"/>
    <w:lvl w:ilvl="0">
      <w:start w:val="1"/>
      <w:numFmt w:val="decimal"/>
      <w:pStyle w:val="GPSL1CLAUSEHEADING"/>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pStyle w:val="GPSL2NumberedBoldHeading"/>
      <w:lvlText w:val="%2)"/>
      <w:lvlJc w:val="left"/>
      <w:pPr>
        <w:ind w:left="1440" w:hanging="720"/>
      </w:pPr>
      <w:rPr>
        <w:b w:val="0"/>
        <w:i w:val="0"/>
        <w:smallCaps w:val="0"/>
        <w:strike w:val="0"/>
        <w:color w:val="000000"/>
        <w:sz w:val="22"/>
        <w:szCs w:val="22"/>
        <w:u w:val="none"/>
        <w:vertAlign w:val="baseline"/>
      </w:rPr>
    </w:lvl>
    <w:lvl w:ilvl="2">
      <w:start w:val="1"/>
      <w:numFmt w:val="decimal"/>
      <w:pStyle w:val="GPSL3numberedclause"/>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62B6CD2"/>
    <w:multiLevelType w:val="multilevel"/>
    <w:tmpl w:val="E6525316"/>
    <w:lvl w:ilvl="0">
      <w:start w:val="1"/>
      <w:numFmt w:val="decimal"/>
      <w:pStyle w:val="GPsDefinition"/>
      <w:lvlText w:val="%1."/>
      <w:lvlJc w:val="right"/>
      <w:pPr>
        <w:ind w:left="980" w:hanging="720"/>
      </w:pPr>
      <w:rPr>
        <w:rFonts w:ascii="Arial" w:eastAsia="Arial" w:hAnsi="Arial" w:cs="Arial"/>
        <w:b/>
        <w:i w:val="0"/>
        <w:sz w:val="40"/>
        <w:szCs w:val="40"/>
      </w:rPr>
    </w:lvl>
    <w:lvl w:ilvl="1">
      <w:start w:val="1"/>
      <w:numFmt w:val="decimal"/>
      <w:pStyle w:val="GPSDefinitionL2"/>
      <w:lvlText w:val="%1.%2."/>
      <w:lvlJc w:val="right"/>
      <w:pPr>
        <w:ind w:left="965" w:hanging="705"/>
      </w:pPr>
      <w:rPr>
        <w:rFonts w:ascii="Arial" w:eastAsia="Arial" w:hAnsi="Arial" w:cs="Arial"/>
        <w:b w:val="0"/>
        <w:sz w:val="24"/>
        <w:szCs w:val="24"/>
      </w:rPr>
    </w:lvl>
    <w:lvl w:ilvl="2">
      <w:start w:val="1"/>
      <w:numFmt w:val="decimal"/>
      <w:pStyle w:val="GPSDefinitionL3"/>
      <w:lvlText w:val="%1.%2.%3."/>
      <w:lvlJc w:val="right"/>
      <w:pPr>
        <w:ind w:left="1685" w:hanging="705"/>
      </w:pPr>
      <w:rPr>
        <w:rFonts w:ascii="Arial" w:eastAsia="Arial" w:hAnsi="Arial" w:cs="Arial"/>
        <w:b w:val="0"/>
        <w:sz w:val="24"/>
        <w:szCs w:val="24"/>
      </w:rPr>
    </w:lvl>
    <w:lvl w:ilvl="3">
      <w:numFmt w:val="bullet"/>
      <w:pStyle w:val="GPSDefinitionL4"/>
      <w:lvlText w:val="●"/>
      <w:lvlJc w:val="left"/>
      <w:pPr>
        <w:ind w:left="2060" w:hanging="705"/>
      </w:pPr>
    </w:lvl>
    <w:lvl w:ilvl="4">
      <w:numFmt w:val="decimal"/>
      <w:lvlText w:val="%1.%2.%3.●.%5."/>
      <w:lvlJc w:val="right"/>
      <w:pPr>
        <w:ind w:left="3108" w:hanging="705"/>
      </w:pPr>
    </w:lvl>
    <w:lvl w:ilvl="5">
      <w:numFmt w:val="decimal"/>
      <w:lvlText w:val="%1.%2.%3.●.%5.%6."/>
      <w:lvlJc w:val="right"/>
      <w:pPr>
        <w:ind w:left="4157" w:hanging="705"/>
      </w:pPr>
    </w:lvl>
    <w:lvl w:ilvl="6">
      <w:numFmt w:val="decimal"/>
      <w:lvlText w:val="%1.%2.%3.●.%5.%6.%7."/>
      <w:lvlJc w:val="right"/>
      <w:pPr>
        <w:ind w:left="5205" w:hanging="705"/>
      </w:pPr>
    </w:lvl>
    <w:lvl w:ilvl="7">
      <w:numFmt w:val="decimal"/>
      <w:lvlText w:val="%1.%2.%3.●.%5.%6.%7.%8."/>
      <w:lvlJc w:val="right"/>
      <w:pPr>
        <w:ind w:left="6254" w:hanging="705"/>
      </w:pPr>
    </w:lvl>
    <w:lvl w:ilvl="8">
      <w:numFmt w:val="decimal"/>
      <w:lvlText w:val="%1.%2.%3.●.%5.%6.%7.%8.%9."/>
      <w:lvlJc w:val="right"/>
      <w:pPr>
        <w:ind w:left="7302" w:hanging="705"/>
      </w:pPr>
    </w:lvl>
  </w:abstractNum>
  <w:abstractNum w:abstractNumId="2" w15:restartNumberingAfterBreak="0">
    <w:nsid w:val="42002CA0"/>
    <w:multiLevelType w:val="multilevel"/>
    <w:tmpl w:val="4678DC92"/>
    <w:lvl w:ilvl="0">
      <w:start w:val="1"/>
      <w:numFmt w:val="decimal"/>
      <w:pStyle w:val="BodyTextIndent"/>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431668F5"/>
    <w:multiLevelType w:val="multilevel"/>
    <w:tmpl w:val="9F8A09F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E9B1069"/>
    <w:multiLevelType w:val="multilevel"/>
    <w:tmpl w:val="34AE595A"/>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i w:val="0"/>
        <w:smallCaps w:val="0"/>
        <w:strike w:val="0"/>
        <w:color w:val="000000"/>
        <w:sz w:val="24"/>
        <w:szCs w:val="24"/>
        <w:u w:val="none"/>
        <w:vertAlign w:val="baseline"/>
      </w:rPr>
    </w:lvl>
    <w:lvl w:ilvl="2">
      <w:start w:val="1"/>
      <w:numFmt w:val="decimal"/>
      <w:lvlText w:val="%1.%2.%3"/>
      <w:lvlJc w:val="left"/>
      <w:pPr>
        <w:ind w:left="2160" w:hanging="720"/>
      </w:pPr>
      <w:rPr>
        <w:rFonts w:ascii="Arial" w:eastAsia="Calibri" w:hAnsi="Arial" w:cs="Arial" w:hint="default"/>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821"/>
    <w:rsid w:val="000F4A33"/>
    <w:rsid w:val="002D7B58"/>
    <w:rsid w:val="00507434"/>
    <w:rsid w:val="00515224"/>
    <w:rsid w:val="005D03C6"/>
    <w:rsid w:val="008A3051"/>
    <w:rsid w:val="009C2E4D"/>
    <w:rsid w:val="00B25867"/>
    <w:rsid w:val="00C730CC"/>
    <w:rsid w:val="00D738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46174"/>
  <w15:docId w15:val="{B85E961C-4C03-4A85-A07C-DB9558B4B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cs="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C730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yOWHAQx1eQ8Snhx+fGxlQ9daiA==">CgMxLjAyCGguZ2pkZ3hzMg5oLno2dDhjamt1N3BoMjIOaC55Z3FpZ3dncHN5cjYyCWguMzBqMHpsbDgAciExR2hLd3p5TkhmZGZIMEk4anlEZFl5aUJwR3Z0RGFuamM=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1829</Words>
  <Characters>10429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Victoria James</cp:lastModifiedBy>
  <cp:revision>9</cp:revision>
  <dcterms:created xsi:type="dcterms:W3CDTF">2023-10-03T10:12:00Z</dcterms:created>
  <dcterms:modified xsi:type="dcterms:W3CDTF">2023-12-01T14:05:00Z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